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26E" w:rsidRDefault="00E3626E" w:rsidP="00E3626E">
      <w:pPr>
        <w:rPr>
          <w:b/>
          <w:color w:val="auto"/>
          <w:sz w:val="40"/>
          <w:szCs w:val="40"/>
        </w:rPr>
      </w:pPr>
      <w:bookmarkStart w:id="0" w:name="_GoBack"/>
      <w:bookmarkEnd w:id="0"/>
      <w:r>
        <w:rPr>
          <w:b/>
          <w:color w:val="auto"/>
          <w:sz w:val="40"/>
          <w:szCs w:val="40"/>
        </w:rPr>
        <w:t xml:space="preserve">D-04.05.01   PODBUDOWA   Z   GRUNTU     STABILIZOWANEGO   CEMENTEM                             </w:t>
      </w:r>
    </w:p>
    <w:p w:rsidR="00971279" w:rsidRDefault="00971279" w:rsidP="00E3626E">
      <w:pPr>
        <w:pStyle w:val="Nagwek2"/>
        <w:numPr>
          <w:ilvl w:val="0"/>
          <w:numId w:val="0"/>
        </w:numPr>
        <w:tabs>
          <w:tab w:val="center" w:pos="4819"/>
          <w:tab w:val="right" w:pos="9355"/>
        </w:tabs>
        <w:rPr>
          <w:rFonts w:eastAsia="Lucida Sans Unicode"/>
          <w:color w:val="auto"/>
          <w:sz w:val="22"/>
        </w:rPr>
      </w:pPr>
      <w:bookmarkStart w:id="1" w:name="_Toc405704474"/>
      <w:bookmarkStart w:id="2" w:name="_Toc405780135"/>
      <w:bookmarkStart w:id="3" w:name="_Toc406295847"/>
      <w:bookmarkStart w:id="4" w:name="_Toc406913836"/>
      <w:bookmarkStart w:id="5" w:name="_Toc406914081"/>
      <w:bookmarkStart w:id="6" w:name="_Toc406914739"/>
      <w:bookmarkStart w:id="7" w:name="_Toc406915317"/>
      <w:bookmarkStart w:id="8" w:name="_Toc406984010"/>
      <w:bookmarkStart w:id="9" w:name="_Toc406984157"/>
      <w:bookmarkStart w:id="10" w:name="_Toc406984348"/>
      <w:bookmarkStart w:id="11" w:name="_Toc407069556"/>
      <w:bookmarkStart w:id="12" w:name="_Toc407081521"/>
      <w:bookmarkStart w:id="13" w:name="_Toc407083320"/>
      <w:bookmarkStart w:id="14" w:name="_Toc407084154"/>
      <w:bookmarkStart w:id="15" w:name="_Toc407085273"/>
      <w:bookmarkStart w:id="16" w:name="_Toc407085416"/>
      <w:bookmarkStart w:id="17" w:name="_Toc407085559"/>
      <w:bookmarkStart w:id="18" w:name="_Toc407086007"/>
    </w:p>
    <w:p w:rsidR="00E3626E" w:rsidRPr="00DA3C53" w:rsidRDefault="00E3626E" w:rsidP="00E3626E">
      <w:pPr>
        <w:pStyle w:val="Nagwek2"/>
        <w:numPr>
          <w:ilvl w:val="0"/>
          <w:numId w:val="0"/>
        </w:numPr>
        <w:tabs>
          <w:tab w:val="center" w:pos="4819"/>
          <w:tab w:val="right" w:pos="9355"/>
        </w:tabs>
        <w:rPr>
          <w:rFonts w:eastAsia="Lucida Sans Unicode"/>
          <w:color w:val="auto"/>
          <w:sz w:val="22"/>
        </w:rPr>
      </w:pPr>
      <w:r w:rsidRPr="00DA3C53">
        <w:rPr>
          <w:rFonts w:eastAsia="Lucida Sans Unicode"/>
          <w:color w:val="auto"/>
          <w:sz w:val="22"/>
        </w:rPr>
        <w:t>1.1. Przedmiot SST</w:t>
      </w:r>
    </w:p>
    <w:p w:rsidR="00C87186" w:rsidRDefault="00E3626E" w:rsidP="00C87186">
      <w:pPr>
        <w:tabs>
          <w:tab w:val="center" w:pos="4819"/>
          <w:tab w:val="right" w:pos="9355"/>
        </w:tabs>
        <w:spacing w:line="100" w:lineRule="atLeast"/>
        <w:rPr>
          <w:rFonts w:eastAsia="Lucida Sans Unicode"/>
          <w:b/>
        </w:rPr>
      </w:pPr>
      <w:r w:rsidRPr="00DA3C53">
        <w:rPr>
          <w:b/>
          <w:color w:val="auto"/>
        </w:rPr>
        <w:tab/>
      </w:r>
      <w:r w:rsidRPr="00DA3C53">
        <w:rPr>
          <w:color w:val="auto"/>
        </w:rPr>
        <w:t xml:space="preserve">Przedmiotem niniejszej szczegółowej specyfikacji technicznej (SST) są wymagania dotyczące wykonania i odbioru </w:t>
      </w:r>
      <w:r w:rsidR="0055706C">
        <w:rPr>
          <w:color w:val="auto"/>
        </w:rPr>
        <w:t xml:space="preserve">stabilizacji gruntu cementem </w:t>
      </w:r>
    </w:p>
    <w:p w:rsidR="0055706C" w:rsidRPr="0055706C" w:rsidRDefault="0055706C" w:rsidP="0055706C">
      <w:pPr>
        <w:tabs>
          <w:tab w:val="center" w:pos="4819"/>
          <w:tab w:val="right" w:pos="9355"/>
        </w:tabs>
        <w:jc w:val="both"/>
        <w:rPr>
          <w:color w:val="auto"/>
        </w:rPr>
      </w:pPr>
    </w:p>
    <w:p w:rsidR="00E3626E" w:rsidRDefault="00E3626E" w:rsidP="00E3626E">
      <w:pPr>
        <w:pStyle w:val="Nagwek2"/>
      </w:pPr>
      <w:r>
        <w:t>1.2. Zakres stosowania SST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3626E" w:rsidRPr="0086516D" w:rsidRDefault="00E3626E" w:rsidP="00E3626E">
      <w:r>
        <w:tab/>
        <w:t>Szczegółowa  specyfikacja techniczna stanowi dokument przetargowy i kontraktowy przy zlecaniu i realizacji robót.</w:t>
      </w:r>
    </w:p>
    <w:p w:rsidR="00E3626E" w:rsidRDefault="00E3626E" w:rsidP="00E3626E">
      <w:pPr>
        <w:pStyle w:val="Nagwek2"/>
      </w:pPr>
      <w:bookmarkStart w:id="19" w:name="_Toc405704475"/>
      <w:bookmarkStart w:id="20" w:name="_Toc405780136"/>
      <w:bookmarkStart w:id="21" w:name="_Toc406295848"/>
      <w:bookmarkStart w:id="22" w:name="_Toc406913837"/>
      <w:bookmarkStart w:id="23" w:name="_Toc406914082"/>
      <w:bookmarkStart w:id="24" w:name="_Toc406914740"/>
      <w:bookmarkStart w:id="25" w:name="_Toc406915318"/>
      <w:bookmarkStart w:id="26" w:name="_Toc406984011"/>
      <w:bookmarkStart w:id="27" w:name="_Toc406984158"/>
      <w:bookmarkStart w:id="28" w:name="_Toc406984349"/>
      <w:bookmarkStart w:id="29" w:name="_Toc407069557"/>
      <w:bookmarkStart w:id="30" w:name="_Toc407081522"/>
      <w:bookmarkStart w:id="31" w:name="_Toc407083321"/>
      <w:bookmarkStart w:id="32" w:name="_Toc407084155"/>
      <w:bookmarkStart w:id="33" w:name="_Toc407085274"/>
      <w:bookmarkStart w:id="34" w:name="_Toc407085417"/>
      <w:bookmarkStart w:id="35" w:name="_Toc407085560"/>
      <w:bookmarkStart w:id="36" w:name="_Toc407086008"/>
      <w:r>
        <w:t>1.3. Zakres robót objętych SST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3626E" w:rsidRDefault="00E3626E" w:rsidP="00E3626E">
      <w:r>
        <w:tab/>
        <w:t xml:space="preserve">Ustalenia zawarte w niniejszej specyfikacji dotyczą zasad prowadzenia robót związanych z wykonaniem i odbiorem podbudów i ulepszonego podłoża z gruntów </w:t>
      </w:r>
    </w:p>
    <w:p w:rsidR="00E3626E" w:rsidRPr="006730EA" w:rsidRDefault="00E3626E" w:rsidP="00E3626E">
      <w:r>
        <w:t xml:space="preserve">lub kruszyw stabilizowanych cementem jako podbudowę pomocniczą  </w:t>
      </w:r>
      <w:proofErr w:type="spellStart"/>
      <w:r>
        <w:t>R</w:t>
      </w:r>
      <w:r>
        <w:rPr>
          <w:vertAlign w:val="subscript"/>
        </w:rPr>
        <w:t>m</w:t>
      </w:r>
      <w:proofErr w:type="spellEnd"/>
      <w:r>
        <w:rPr>
          <w:vertAlign w:val="subscript"/>
        </w:rPr>
        <w:t xml:space="preserve"> </w:t>
      </w:r>
      <w:r>
        <w:t>= 2,5MPa</w:t>
      </w:r>
    </w:p>
    <w:p w:rsidR="00E3626E" w:rsidRDefault="00E3626E" w:rsidP="00E3626E">
      <w:pPr>
        <w:pStyle w:val="Nagwek2"/>
        <w:numPr>
          <w:ilvl w:val="0"/>
          <w:numId w:val="0"/>
        </w:numPr>
      </w:pPr>
      <w:r>
        <w:t>1.4. Określenia podstawowe</w:t>
      </w:r>
    </w:p>
    <w:p w:rsidR="00E3626E" w:rsidRDefault="00E3626E" w:rsidP="00E3626E">
      <w:r>
        <w:tab/>
        <w:t>Określenia podstawowe są zgodne z obowiązującymi, odpowiednimi polskimi normami oraz z definicjami podanymi w OST D-M-00.00.00 „Wymagania ogólne” pkt</w:t>
      </w:r>
      <w:r w:rsidR="00046950">
        <w:t>.</w:t>
      </w:r>
      <w:r>
        <w:t xml:space="preserve"> 1.4 oraz w OST wymienionych w pkt</w:t>
      </w:r>
      <w:r w:rsidR="00046950">
        <w:t>.</w:t>
      </w:r>
      <w:r>
        <w:t xml:space="preserve"> 1.3, dotyczących poszczególnych rodzajów podbudów </w:t>
      </w:r>
    </w:p>
    <w:p w:rsidR="00E3626E" w:rsidRDefault="00E3626E" w:rsidP="00E3626E">
      <w:r>
        <w:t>i ulepszonego podłoża z gruntów lub kruszyw stabilizowanych spoiwami hydraulicznymi.</w:t>
      </w:r>
    </w:p>
    <w:p w:rsidR="00E3626E" w:rsidRDefault="00E3626E" w:rsidP="00E3626E">
      <w:pPr>
        <w:pStyle w:val="Nagwek2"/>
      </w:pPr>
      <w:bookmarkStart w:id="37" w:name="_Toc405704477"/>
      <w:bookmarkStart w:id="38" w:name="_Toc405780138"/>
      <w:bookmarkStart w:id="39" w:name="_Toc406295850"/>
      <w:bookmarkStart w:id="40" w:name="_Toc406913839"/>
      <w:bookmarkStart w:id="41" w:name="_Toc406914084"/>
      <w:bookmarkStart w:id="42" w:name="_Toc406914742"/>
      <w:bookmarkStart w:id="43" w:name="_Toc406915320"/>
      <w:bookmarkStart w:id="44" w:name="_Toc406984013"/>
      <w:bookmarkStart w:id="45" w:name="_Toc406984160"/>
      <w:bookmarkStart w:id="46" w:name="_Toc406984351"/>
      <w:bookmarkStart w:id="47" w:name="_Toc407069559"/>
      <w:bookmarkStart w:id="48" w:name="_Toc407081524"/>
      <w:bookmarkStart w:id="49" w:name="_Toc407083323"/>
      <w:bookmarkStart w:id="50" w:name="_Toc407084157"/>
      <w:bookmarkStart w:id="51" w:name="_Toc407085276"/>
      <w:bookmarkStart w:id="52" w:name="_Toc407085419"/>
      <w:bookmarkStart w:id="53" w:name="_Toc407085562"/>
      <w:bookmarkStart w:id="54" w:name="_Toc407086010"/>
      <w:r>
        <w:t>1.5. Ogólne wymagania dotyczące robót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E3626E" w:rsidRDefault="00E3626E" w:rsidP="00E3626E">
      <w:pPr>
        <w:pStyle w:val="tekstost"/>
      </w:pPr>
      <w:r>
        <w:tab/>
        <w:t>Ogólne wymagania dotyczące robót podano w OST D-M-00.00.00 „Wymagania ogólne” pkt 1.5.</w:t>
      </w:r>
    </w:p>
    <w:p w:rsidR="00E3626E" w:rsidRDefault="00E3626E" w:rsidP="00E3626E">
      <w:pPr>
        <w:pStyle w:val="Nagwek1"/>
      </w:pPr>
      <w:r>
        <w:t>2. materiały</w:t>
      </w:r>
    </w:p>
    <w:p w:rsidR="00E3626E" w:rsidRDefault="00E3626E" w:rsidP="00E3626E">
      <w:pPr>
        <w:pStyle w:val="Nagwek2"/>
      </w:pPr>
      <w:r>
        <w:t>2.1. Ogólne wymagania dotyczące materiałów</w:t>
      </w:r>
    </w:p>
    <w:p w:rsidR="00E3626E" w:rsidRDefault="00E3626E" w:rsidP="00E3626E">
      <w:r>
        <w:tab/>
        <w:t>Ogólne wymagania dotyczące materiałów, ich pozyskiwania i składowania, podano             w OST D-M-00.00.00 „Wymagania ogólne” pkt</w:t>
      </w:r>
      <w:r w:rsidR="00046950">
        <w:t>.</w:t>
      </w:r>
      <w:r>
        <w:t xml:space="preserve"> 2.</w:t>
      </w:r>
    </w:p>
    <w:p w:rsidR="00E3626E" w:rsidRDefault="00E3626E" w:rsidP="00E3626E">
      <w:pPr>
        <w:pStyle w:val="Nagwek1"/>
      </w:pPr>
      <w:r>
        <w:t>3. sprzęt</w:t>
      </w:r>
    </w:p>
    <w:p w:rsidR="00E3626E" w:rsidRDefault="00E3626E" w:rsidP="00E3626E">
      <w:pPr>
        <w:pStyle w:val="Nagwek2"/>
      </w:pPr>
      <w:r>
        <w:t>3.1. Ogólne wymagania dotyczące sprzętu</w:t>
      </w:r>
    </w:p>
    <w:p w:rsidR="00E3626E" w:rsidRDefault="00E3626E" w:rsidP="00E3626E">
      <w:pPr>
        <w:ind w:firstLine="709"/>
      </w:pPr>
      <w:r>
        <w:t>Ogólne wymagania dotyczące sprzętu podano w OST D-M-00.00.00 „Wymagania ogólne” pkt 3.</w:t>
      </w:r>
    </w:p>
    <w:p w:rsidR="00E3626E" w:rsidRDefault="00E3626E" w:rsidP="00E3626E">
      <w:pPr>
        <w:pStyle w:val="Nagwek2"/>
      </w:pPr>
      <w:r>
        <w:t>3.2. Sprzęt do wykonania robót</w:t>
      </w:r>
    </w:p>
    <w:p w:rsidR="00E3626E" w:rsidRDefault="00E3626E" w:rsidP="00E3626E">
      <w:r>
        <w:tab/>
        <w:t>Wykonawca przystępujący do wykonania podbudowy lub ulepszonego podłoża stabilizowanego spoiwami powinien wykazać się możliwością korzystania z następującego sprzętu:</w:t>
      </w:r>
    </w:p>
    <w:p w:rsidR="00E3626E" w:rsidRDefault="00E3626E" w:rsidP="00E3626E">
      <w:pPr>
        <w:widowControl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w przypadku wytwarzania mieszanek kruszywowo-spoiwowych w mieszarkach: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mieszarek stacjonarnych,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układarek lub równiarek do rozkładania mieszanki,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walców ogumionych i stalowych wibracyjnych lub statycznych do zagęszczania,</w:t>
      </w:r>
    </w:p>
    <w:p w:rsidR="00E3626E" w:rsidRP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zagęszczarek płytowych, ubijaków mechanicznych lub małych walców wibracyjnych 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do zagęszczania w miejscach trudnodostępnych,</w:t>
      </w:r>
    </w:p>
    <w:p w:rsidR="00E3626E" w:rsidRDefault="00E3626E" w:rsidP="00E3626E">
      <w:pPr>
        <w:widowControl/>
        <w:numPr>
          <w:ilvl w:val="0"/>
          <w:numId w:val="3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lastRenderedPageBreak/>
        <w:t>w przypadku wytwarzania mieszanek gruntowo-spoiwowych na miejscu: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mieszarek jedno lub wielowirnikowych do wymieszania gruntu ze spoiwami,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spycharek, równiarek lub sprzętu rolniczego (pługi, brony, kultywatory) do spulchniania gruntu,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ciężkich szablonów do wyprofilowania warstwy,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proofErr w:type="spellStart"/>
      <w:r>
        <w:t>rozsypywarek</w:t>
      </w:r>
      <w:proofErr w:type="spellEnd"/>
      <w:r>
        <w:t xml:space="preserve"> wyposażonych w osłony </w:t>
      </w:r>
      <w:proofErr w:type="spellStart"/>
      <w:r>
        <w:t>przeciwpylne</w:t>
      </w:r>
      <w:proofErr w:type="spellEnd"/>
      <w:r>
        <w:t xml:space="preserve"> i szczeliny o regulowanej szerokości do rozsypywania spoiw,</w:t>
      </w:r>
    </w:p>
    <w:p w:rsidR="00E3626E" w:rsidRP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przewoźnych zbiorników na wodę, wyposażonych w urządzenia do równomiernego</w:t>
      </w:r>
    </w:p>
    <w:p w:rsidR="00E3626E" w:rsidRDefault="00E3626E" w:rsidP="00E3626E">
      <w:pPr>
        <w:widowControl/>
        <w:suppressAutoHyphens w:val="0"/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 xml:space="preserve"> i kontrolowanego dozowania wody,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walców ogumionych i stalowych wibracyjnych lub statycznych do zagęszczania,</w:t>
      </w:r>
    </w:p>
    <w:p w:rsidR="00E3626E" w:rsidRP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zagęszczarek płytowych, ubijaków mechanicznych lub małych walców wibracyjnych </w:t>
      </w:r>
    </w:p>
    <w:p w:rsidR="00E3626E" w:rsidRDefault="00E3626E" w:rsidP="00E3626E">
      <w:pPr>
        <w:widowControl/>
        <w:suppressAutoHyphens w:val="0"/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do zagęszczania w miejscach trudnodostępnych.</w:t>
      </w:r>
    </w:p>
    <w:p w:rsidR="00E3626E" w:rsidRDefault="00E3626E" w:rsidP="00E3626E">
      <w:pPr>
        <w:pStyle w:val="Nagwek1"/>
        <w:numPr>
          <w:ilvl w:val="12"/>
          <w:numId w:val="0"/>
        </w:numPr>
      </w:pPr>
      <w:r>
        <w:t>4. transport</w:t>
      </w:r>
    </w:p>
    <w:p w:rsidR="00E3626E" w:rsidRDefault="00E3626E" w:rsidP="00E3626E">
      <w:pPr>
        <w:pStyle w:val="Nagwek2"/>
        <w:numPr>
          <w:ilvl w:val="12"/>
          <w:numId w:val="0"/>
        </w:numPr>
      </w:pPr>
      <w:r>
        <w:t>4.1. Ogólne wymagania dotyczące transportu</w:t>
      </w:r>
    </w:p>
    <w:p w:rsidR="00E3626E" w:rsidRDefault="00E3626E" w:rsidP="00E3626E">
      <w:pPr>
        <w:numPr>
          <w:ilvl w:val="12"/>
          <w:numId w:val="0"/>
        </w:numPr>
        <w:ind w:firstLine="709"/>
      </w:pPr>
      <w:r>
        <w:t>Ogólne wymagania dotyczące transportu podano w OST D-M-00.00.00 „Wymagania ogólne” pkt 4.</w:t>
      </w:r>
    </w:p>
    <w:p w:rsidR="00E3626E" w:rsidRDefault="00E3626E" w:rsidP="00E3626E">
      <w:pPr>
        <w:pStyle w:val="Nagwek2"/>
        <w:numPr>
          <w:ilvl w:val="12"/>
          <w:numId w:val="0"/>
        </w:numPr>
      </w:pPr>
      <w:r>
        <w:t>4.2. Transport materiałów</w:t>
      </w:r>
    </w:p>
    <w:p w:rsidR="00E3626E" w:rsidRDefault="00E3626E" w:rsidP="00E3626E">
      <w:pPr>
        <w:numPr>
          <w:ilvl w:val="12"/>
          <w:numId w:val="0"/>
        </w:numPr>
      </w:pPr>
      <w:r>
        <w:tab/>
        <w:t>Transport cementu powinien odbywać się zgodnie z BN-88/6731-08 [19].</w:t>
      </w:r>
    </w:p>
    <w:p w:rsidR="00E3626E" w:rsidRDefault="00E3626E" w:rsidP="00E3626E">
      <w:pPr>
        <w:numPr>
          <w:ilvl w:val="12"/>
          <w:numId w:val="0"/>
        </w:numPr>
      </w:pPr>
      <w:r>
        <w:t xml:space="preserve">Mieszankę kruszywowo-spoiwową można przewozić dowolnymi środkami transportu, </w:t>
      </w:r>
    </w:p>
    <w:p w:rsidR="00E3626E" w:rsidRDefault="00E3626E" w:rsidP="00E3626E">
      <w:pPr>
        <w:numPr>
          <w:ilvl w:val="12"/>
          <w:numId w:val="0"/>
        </w:numPr>
      </w:pPr>
      <w:r>
        <w:t xml:space="preserve">w sposób zabezpieczony przed zanieczyszczeniem, rozsegregowaniem i wysuszeniem </w:t>
      </w:r>
    </w:p>
    <w:p w:rsidR="00E3626E" w:rsidRPr="00E3626E" w:rsidRDefault="00E3626E" w:rsidP="00E3626E">
      <w:pPr>
        <w:numPr>
          <w:ilvl w:val="12"/>
          <w:numId w:val="0"/>
        </w:numPr>
      </w:pPr>
      <w:r>
        <w:t>lub nadmiernym  zawilgoceniem.</w:t>
      </w:r>
    </w:p>
    <w:p w:rsidR="00E3626E" w:rsidRDefault="00E3626E" w:rsidP="00E3626E">
      <w:pPr>
        <w:pStyle w:val="Nagwek1"/>
        <w:numPr>
          <w:ilvl w:val="12"/>
          <w:numId w:val="0"/>
        </w:numPr>
      </w:pPr>
      <w:r>
        <w:t>5. wykonanie robót</w:t>
      </w:r>
    </w:p>
    <w:p w:rsidR="00E3626E" w:rsidRDefault="00E3626E" w:rsidP="00E3626E">
      <w:pPr>
        <w:pStyle w:val="Nagwek2"/>
        <w:numPr>
          <w:ilvl w:val="12"/>
          <w:numId w:val="0"/>
        </w:numPr>
      </w:pPr>
      <w:r>
        <w:t>5.1. Ogólne zasady wykonania robót</w:t>
      </w:r>
    </w:p>
    <w:p w:rsidR="00E3626E" w:rsidRDefault="00E3626E" w:rsidP="00E3626E">
      <w:pPr>
        <w:numPr>
          <w:ilvl w:val="12"/>
          <w:numId w:val="0"/>
        </w:numPr>
      </w:pPr>
      <w:r>
        <w:tab/>
        <w:t>Ogólne zasady wykonania robót podano w OST D-M-00.00.00 „Wymagania ogólne” pkt 5.</w:t>
      </w:r>
    </w:p>
    <w:p w:rsidR="00E3626E" w:rsidRDefault="00E3626E" w:rsidP="00E3626E">
      <w:pPr>
        <w:pStyle w:val="Nagwek2"/>
        <w:numPr>
          <w:ilvl w:val="12"/>
          <w:numId w:val="0"/>
        </w:numPr>
      </w:pPr>
      <w:r>
        <w:t>5.2. Przygotowanie podłoża</w:t>
      </w:r>
    </w:p>
    <w:p w:rsidR="00E3626E" w:rsidRDefault="00E3626E" w:rsidP="00E3626E">
      <w:pPr>
        <w:numPr>
          <w:ilvl w:val="12"/>
          <w:numId w:val="0"/>
        </w:numPr>
      </w:pPr>
      <w:r>
        <w:tab/>
        <w:t>Podłoże gruntowe powinno być przygotowane zgodnie z wymaganiami określonymi         w SST D-04.01.01 „Koryto wraz z profilowaniem i zagęszczeniem podłoża” i SST D-02.00.00 „Roboty ziemne”.</w:t>
      </w:r>
    </w:p>
    <w:p w:rsidR="00E3626E" w:rsidRDefault="00E3626E" w:rsidP="00E3626E">
      <w:pPr>
        <w:numPr>
          <w:ilvl w:val="12"/>
          <w:numId w:val="0"/>
        </w:numPr>
      </w:pPr>
      <w:r>
        <w:tab/>
        <w:t>Paliki lub szpilki do prawidłowego ukształtowania podbudowy i ulepszonego podłoża powinny być wcześniej przygotowane.</w:t>
      </w:r>
    </w:p>
    <w:p w:rsidR="00E3626E" w:rsidRDefault="00E3626E" w:rsidP="00E3626E">
      <w:pPr>
        <w:numPr>
          <w:ilvl w:val="12"/>
          <w:numId w:val="0"/>
        </w:numPr>
      </w:pPr>
      <w:r>
        <w:tab/>
        <w:t>Paliki lub szpilki powinny być ustawione w osi drogi i w rzędach równoległych do osi drogi, lub w inny sposób zaakceptowany przez Inżyniera.</w:t>
      </w:r>
    </w:p>
    <w:p w:rsidR="00E3626E" w:rsidRDefault="00E3626E" w:rsidP="00E3626E">
      <w:pPr>
        <w:numPr>
          <w:ilvl w:val="12"/>
          <w:numId w:val="0"/>
        </w:numPr>
      </w:pPr>
      <w:r>
        <w:tab/>
        <w:t xml:space="preserve">Rozmieszczenie palików lub szpilek powinno umożliwiać naciągnięcie sznurków </w:t>
      </w:r>
    </w:p>
    <w:p w:rsidR="00E3626E" w:rsidRDefault="00E3626E" w:rsidP="00E3626E">
      <w:pPr>
        <w:numPr>
          <w:ilvl w:val="12"/>
          <w:numId w:val="0"/>
        </w:numPr>
      </w:pPr>
      <w:r>
        <w:t>lub linek do wytyczenia robót w odstępach nie większych niż co 10 m.</w:t>
      </w:r>
    </w:p>
    <w:p w:rsidR="00E3626E" w:rsidRDefault="00E3626E" w:rsidP="00E3626E">
      <w:pPr>
        <w:numPr>
          <w:ilvl w:val="12"/>
          <w:numId w:val="0"/>
        </w:numPr>
      </w:pPr>
      <w:r>
        <w:tab/>
        <w:t>Jeżeli warstwa mieszanki gruntu lub kruszywa ze spoiwami hydraulicznymi ma być układana w prowadnicach, to po wytyczeniu podbudowy należy ustawić na podłożu prowadnice w taki sposób, aby wyznaczały one ściśle linie krawędzi układanej warstwy  według dokumentacji projektowej. Wysokość prowadnic powinna odpowiadać grubości warstwy mieszanki gruntu lub kruszywa ze spoiwami hydraulicznymi, w stanie niezagęszczonym. Prowadnice powinny być ustawione stabilnie, w sposób wykluczający ich przesuwanie się pod wpływem oddziaływania maszyn użytych do wykonania warstwy.</w:t>
      </w:r>
    </w:p>
    <w:p w:rsidR="00E3626E" w:rsidRDefault="00E3626E" w:rsidP="00E3626E">
      <w:pPr>
        <w:pStyle w:val="Nagwek2"/>
        <w:numPr>
          <w:ilvl w:val="12"/>
          <w:numId w:val="0"/>
        </w:numPr>
      </w:pPr>
      <w:r>
        <w:t>5.3. Odcinek próbny</w:t>
      </w:r>
    </w:p>
    <w:p w:rsidR="00E3626E" w:rsidRDefault="00E3626E" w:rsidP="00E3626E">
      <w:pPr>
        <w:pStyle w:val="tekstost"/>
        <w:numPr>
          <w:ilvl w:val="12"/>
          <w:numId w:val="0"/>
        </w:numPr>
      </w:pPr>
      <w:r>
        <w:tab/>
        <w:t xml:space="preserve">Jeżeli w SST przewidziano konieczność wykonania odcinka próbnego, to co najmniej </w:t>
      </w:r>
      <w:r>
        <w:lastRenderedPageBreak/>
        <w:t>na 3 dni przed rozpoczęciem robót, Wykonawca powinien wykonać odcinek próbny w celu:</w:t>
      </w:r>
    </w:p>
    <w:p w:rsidR="00E3626E" w:rsidRDefault="00E3626E" w:rsidP="00E3626E">
      <w:pPr>
        <w:pStyle w:val="tekstost"/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stwierdzenia czy sprzęt budowlany do spulchnienia, mieszania, rozkładania                         i zagęszczania  jest właściwy,</w:t>
      </w:r>
    </w:p>
    <w:p w:rsidR="00E3626E" w:rsidRDefault="00E3626E" w:rsidP="00E3626E">
      <w:pPr>
        <w:pStyle w:val="tekstost"/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określenia grubości warstwy materiału w stanie luźnym,  koniecznej do uzyskania wymaganej grubości warstwy po zagęszczeniu,</w:t>
      </w:r>
    </w:p>
    <w:p w:rsidR="00E3626E" w:rsidRDefault="00E3626E" w:rsidP="00E3626E">
      <w:pPr>
        <w:pStyle w:val="tekstost"/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określenia potrzebnej liczby przejść walców do uzyskania wymaganego wskaźnika zagęszczenia warstwy.</w:t>
      </w:r>
    </w:p>
    <w:p w:rsidR="00E3626E" w:rsidRDefault="00E3626E" w:rsidP="00E3626E">
      <w:pPr>
        <w:pStyle w:val="tekstost"/>
      </w:pPr>
      <w:r>
        <w:tab/>
        <w:t>Na odcinku próbnym  Wykonawca powinien użyć materiałów oraz sprzętu takich, jakie będą stosowane do wykonywania podbudowy lub ulepszonego podłoża.</w:t>
      </w:r>
    </w:p>
    <w:p w:rsidR="00E3626E" w:rsidRDefault="00E3626E" w:rsidP="00E3626E">
      <w:pPr>
        <w:pStyle w:val="tekstost"/>
      </w:pPr>
      <w:r>
        <w:tab/>
        <w:t>Powierzchnia odcinka próbnego powinna wynosić od 400 do 800 m</w:t>
      </w:r>
      <w:r>
        <w:rPr>
          <w:vertAlign w:val="superscript"/>
        </w:rPr>
        <w:t>2</w:t>
      </w:r>
      <w:r>
        <w:t>.</w:t>
      </w:r>
    </w:p>
    <w:p w:rsidR="00E3626E" w:rsidRDefault="00E3626E" w:rsidP="00E3626E">
      <w:pPr>
        <w:pStyle w:val="tekstost"/>
      </w:pPr>
      <w:r>
        <w:tab/>
        <w:t>Odcinek próbny powinien być zlokalizowany w miejscu wskazanym przez Inżyniera.</w:t>
      </w:r>
    </w:p>
    <w:p w:rsidR="00E3626E" w:rsidRDefault="00E3626E" w:rsidP="00E3626E">
      <w:r>
        <w:tab/>
        <w:t>Wykonawca może przystąpić do wykonywania podbudowy lub ulepszonego podłoża  po zaakceptowaniu odcinka próbnego przez Inżyniera.</w:t>
      </w:r>
      <w:r>
        <w:tab/>
      </w:r>
    </w:p>
    <w:p w:rsidR="00E3626E" w:rsidRDefault="00E3626E" w:rsidP="00E3626E">
      <w:pPr>
        <w:pStyle w:val="Nagwek2"/>
      </w:pPr>
      <w:r>
        <w:t>5.4. Utrzymanie podbudowy i ulepszonego podłoża</w:t>
      </w:r>
    </w:p>
    <w:p w:rsidR="00E3626E" w:rsidRDefault="00E3626E" w:rsidP="00E3626E">
      <w:r>
        <w:tab/>
        <w:t xml:space="preserve">Podbudowa i ulepszone podłoże po wykonaniu, a przed ułożeniem następnej warstwy, powinny być utrzymywane w dobrym stanie.  Jeżeli Wykonawca będzie wykorzystywał, </w:t>
      </w:r>
    </w:p>
    <w:p w:rsidR="00E3626E" w:rsidRDefault="00E3626E" w:rsidP="00E3626E">
      <w:r>
        <w:t xml:space="preserve">za zgodą Inżyniera, gotową podbudowę lub ulepszone podłoże do ruchu budowlanego, to jest obowiązany naprawić wszelkie uszkodzenia podbudowy, spowodowane przez ten ruch. Koszt napraw wynikłych z niewłaściwego utrzymania podbudowy lub ulepszonego podłoża obciąża Wykonawcę robót. </w:t>
      </w:r>
    </w:p>
    <w:p w:rsidR="00E3626E" w:rsidRDefault="00E3626E" w:rsidP="00E3626E">
      <w:r>
        <w:tab/>
        <w:t xml:space="preserve">Wykonawca jest zobowiązany do przeprowadzenia bieżących napraw podbudowy </w:t>
      </w:r>
    </w:p>
    <w:p w:rsidR="00E3626E" w:rsidRDefault="00E3626E" w:rsidP="00E3626E">
      <w:r>
        <w:t>lub ulepszonego podłoża  uszkodzonych wskutek oddziaływania czynników atmosferycznych, takich jak opady deszczu i śniegu oraz mróz.</w:t>
      </w:r>
    </w:p>
    <w:p w:rsidR="00E3626E" w:rsidRDefault="00E3626E" w:rsidP="00E3626E">
      <w:r>
        <w:tab/>
        <w:t>Wykonawca jest zobowiązany wstrzymać ruch budowlany po okresie intensywnych opadów deszczu, jeżeli wystąpi możliwość uszkodzenia podbudowy lub ulepszonego podłoża.</w:t>
      </w:r>
    </w:p>
    <w:p w:rsidR="00E3626E" w:rsidRDefault="00E3626E" w:rsidP="00E3626E">
      <w:r>
        <w:tab/>
        <w:t>Warstwa stabilizowana spoiwami hydraulicznymi powinna być przykryta przed zimą warstwą nawierzchni lub zabezpieczona przed niszczącym działaniem czynników atmosferycznych w inny sposób zaakceptowany przez Inżyniera.</w:t>
      </w:r>
    </w:p>
    <w:p w:rsidR="00E3626E" w:rsidRDefault="00E3626E" w:rsidP="00E3626E">
      <w:pPr>
        <w:pStyle w:val="Nagwek2"/>
        <w:spacing w:after="0"/>
      </w:pPr>
      <w:r>
        <w:t>5.5. Pielęgnacja warstwy z gruntu lub kruszywa stabilizowanego spoiwami</w:t>
      </w:r>
    </w:p>
    <w:p w:rsidR="00E3626E" w:rsidRDefault="00E3626E" w:rsidP="00E3626E">
      <w:pPr>
        <w:spacing w:after="120"/>
      </w:pPr>
      <w:r>
        <w:t xml:space="preserve">       </w:t>
      </w:r>
      <w:r>
        <w:rPr>
          <w:b/>
        </w:rPr>
        <w:t>hydraulicznymi</w:t>
      </w:r>
    </w:p>
    <w:p w:rsidR="00E3626E" w:rsidRDefault="00E3626E" w:rsidP="00E3626E">
      <w:r>
        <w:tab/>
        <w:t>Pielęgnacja powinna być przeprowadzona według jednego z następujących sposobów:</w:t>
      </w:r>
    </w:p>
    <w:p w:rsidR="00E3626E" w:rsidRPr="00E3626E" w:rsidRDefault="00E3626E" w:rsidP="00E3626E">
      <w:pPr>
        <w:widowControl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skropienie warstwy emulsją asfaltową, albo asfaltem D200 lub D300 w ilości od 0,5 </w:t>
      </w:r>
    </w:p>
    <w:p w:rsidR="00E3626E" w:rsidRDefault="00E3626E" w:rsidP="00E3626E">
      <w:pPr>
        <w:widowControl/>
        <w:suppressAutoHyphens w:val="0"/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do 1,0 kg/m</w:t>
      </w:r>
      <w:r>
        <w:rPr>
          <w:vertAlign w:val="superscript"/>
        </w:rPr>
        <w:t>2</w:t>
      </w:r>
      <w:r>
        <w:t>,</w:t>
      </w:r>
    </w:p>
    <w:p w:rsidR="00E3626E" w:rsidRDefault="00E3626E" w:rsidP="00E3626E">
      <w:pPr>
        <w:widowControl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skropienie specjalnymi preparatami powłokotwórczymi posiadającymi aprobatę techniczną wydaną przez uprawnioną jednostkę, po uprzednim zaakceptowaniu ich użycia przez Inżyniera,</w:t>
      </w:r>
    </w:p>
    <w:p w:rsidR="00E3626E" w:rsidRPr="00E3626E" w:rsidRDefault="00E3626E" w:rsidP="00E3626E">
      <w:pPr>
        <w:widowControl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utrzymanie w stanie wilgotnym poprzez kilkakrotne skrapianie wodą w ciągu dnia, </w:t>
      </w:r>
    </w:p>
    <w:p w:rsidR="00E3626E" w:rsidRDefault="00E3626E" w:rsidP="00E3626E">
      <w:pPr>
        <w:widowControl/>
        <w:suppressAutoHyphens w:val="0"/>
        <w:overflowPunct w:val="0"/>
        <w:autoSpaceDE w:val="0"/>
        <w:autoSpaceDN w:val="0"/>
        <w:adjustRightInd w:val="0"/>
        <w:ind w:left="283"/>
        <w:jc w:val="both"/>
        <w:textAlignment w:val="baseline"/>
      </w:pPr>
      <w:r>
        <w:t>w czasie co najmniej 7 dni,</w:t>
      </w:r>
    </w:p>
    <w:p w:rsidR="00E3626E" w:rsidRPr="00E3626E" w:rsidRDefault="00E3626E" w:rsidP="00E3626E">
      <w:pPr>
        <w:widowControl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przykrycie na okres 7 dni nieprzepuszczalną folią z tworzywa sztucznego, ułożoną </w:t>
      </w:r>
    </w:p>
    <w:p w:rsidR="00E3626E" w:rsidRDefault="00E3626E" w:rsidP="00E3626E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na zakład o szerokości  co najmniej 30 cm i zabezpieczoną przed zerwaniem z powierzchni </w:t>
      </w:r>
    </w:p>
    <w:p w:rsidR="00E3626E" w:rsidRDefault="00E3626E" w:rsidP="00E3626E">
      <w:pPr>
        <w:widowControl/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warstwy przez wiatr,</w:t>
      </w:r>
    </w:p>
    <w:p w:rsidR="00E3626E" w:rsidRDefault="00E3626E" w:rsidP="00E3626E">
      <w:pPr>
        <w:widowControl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przykrycie warstwą piasku lub grubej włókniny technicznej i utrzymywanie jej w stanie wilgotnym w czasie co najmniej 7 dni.</w:t>
      </w:r>
    </w:p>
    <w:p w:rsidR="00E3626E" w:rsidRDefault="00E3626E" w:rsidP="00E3626E">
      <w:r>
        <w:tab/>
        <w:t>Inne sposoby pielęgnacji, zaproponowane przez Wykonawcę i inne materiały przeznaczone do pielęgnacji mogą być zastosowane po uzyskaniu akceptacji Inżyniera.</w:t>
      </w:r>
    </w:p>
    <w:p w:rsidR="00E3626E" w:rsidRDefault="00E3626E" w:rsidP="00E3626E">
      <w:r>
        <w:tab/>
        <w:t>Nie należy dopuszczać żadnego ruchu pojazdów i maszyn po podbudowie w okresie           7 dni po wykonaniu.  Po tym czasie ewentualny ruch technologiczny może odbywać się wyłącznie za zgodą Inżyniera.</w:t>
      </w:r>
      <w:r>
        <w:tab/>
      </w:r>
    </w:p>
    <w:p w:rsidR="00E3626E" w:rsidRPr="006730EA" w:rsidRDefault="00E3626E" w:rsidP="00E3626E"/>
    <w:p w:rsidR="00E3626E" w:rsidRDefault="00E3626E" w:rsidP="00E3626E">
      <w:pPr>
        <w:pStyle w:val="Nagwek1"/>
      </w:pPr>
      <w:r>
        <w:t>6. kontrola jakości robót</w:t>
      </w:r>
    </w:p>
    <w:p w:rsidR="00E3626E" w:rsidRDefault="00E3626E" w:rsidP="00E3626E">
      <w:pPr>
        <w:pStyle w:val="Nagwek2"/>
      </w:pPr>
      <w:r>
        <w:t>6.1. Ogólne zasady kontroli jakości robót</w:t>
      </w:r>
    </w:p>
    <w:p w:rsidR="00E3626E" w:rsidRDefault="00E3626E" w:rsidP="00E3626E">
      <w:r>
        <w:tab/>
        <w:t>Ogólne zasady kontroli jakości robót podano w OST D-M-00.00.00 „Wymagania ogólne” pkt 6.</w:t>
      </w:r>
    </w:p>
    <w:p w:rsidR="00E3626E" w:rsidRDefault="00E3626E" w:rsidP="00E3626E">
      <w:pPr>
        <w:pStyle w:val="Nagwek2"/>
      </w:pPr>
      <w:r>
        <w:t>6.2. Badania przed przystąpieniem do robót</w:t>
      </w:r>
    </w:p>
    <w:p w:rsidR="00E3626E" w:rsidRDefault="00E3626E" w:rsidP="00E3626E">
      <w:r>
        <w:tab/>
        <w:t>Przed przystąpieniem do robót Wykonawca powinien wykonać badania spoiw, kruszyw i gruntów  przeznaczonych do wykonania robót i przedstawić wyniki tych badań Inżynierowi                   w celu akceptacji.</w:t>
      </w:r>
    </w:p>
    <w:p w:rsidR="00E3626E" w:rsidRDefault="00E3626E" w:rsidP="00E3626E">
      <w:pPr>
        <w:pStyle w:val="Nagwek2"/>
      </w:pPr>
      <w:r>
        <w:t>6.3. Badania w czasie robót</w:t>
      </w:r>
    </w:p>
    <w:p w:rsidR="00E3626E" w:rsidRDefault="00E3626E" w:rsidP="00E3626E">
      <w:r>
        <w:rPr>
          <w:b/>
        </w:rPr>
        <w:t xml:space="preserve">6.3.1. </w:t>
      </w:r>
      <w:r>
        <w:t>Częstotliwość oraz zakres badań i pomiarów</w:t>
      </w:r>
    </w:p>
    <w:p w:rsidR="00E3626E" w:rsidRPr="00E3626E" w:rsidRDefault="00E3626E" w:rsidP="00E3626E">
      <w:pPr>
        <w:spacing w:before="120"/>
      </w:pPr>
      <w:r>
        <w:tab/>
        <w:t>Częstotliwość oraz zakres badań  i pomiarów w czasie wykonywania podbudowy                                       lub ulepszonego podłoża stabilizowanych spoiwami  podano w tablicy 1.</w:t>
      </w:r>
    </w:p>
    <w:p w:rsidR="00E3626E" w:rsidRDefault="00E3626E" w:rsidP="00E3626E">
      <w:pPr>
        <w:pStyle w:val="tekstost"/>
        <w:spacing w:after="120"/>
      </w:pPr>
      <w:r>
        <w:t>Tablica 1. Częstotliwość badań i pomiarów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394"/>
        <w:gridCol w:w="1309"/>
        <w:gridCol w:w="1311"/>
      </w:tblGrid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Częstotliwość badań</w:t>
            </w:r>
          </w:p>
        </w:tc>
      </w:tr>
      <w:tr w:rsidR="00E3626E" w:rsidTr="00606717"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  <w:p w:rsidR="00E3626E" w:rsidRDefault="00E3626E" w:rsidP="00606717">
            <w:pPr>
              <w:pStyle w:val="tekstost"/>
              <w:spacing w:before="120"/>
              <w:jc w:val="center"/>
            </w:pPr>
            <w:r>
              <w:t>Lp.</w:t>
            </w:r>
          </w:p>
        </w:tc>
        <w:tc>
          <w:tcPr>
            <w:tcW w:w="4394" w:type="dxa"/>
            <w:tcBorders>
              <w:bottom w:val="double" w:sz="6" w:space="0" w:color="auto"/>
            </w:tcBorders>
          </w:tcPr>
          <w:p w:rsidR="00E3626E" w:rsidRDefault="00E3626E" w:rsidP="00606717">
            <w:pPr>
              <w:pStyle w:val="tekstost"/>
            </w:pPr>
          </w:p>
          <w:p w:rsidR="00E3626E" w:rsidRDefault="00E3626E" w:rsidP="00606717">
            <w:pPr>
              <w:pStyle w:val="tekstost"/>
              <w:spacing w:before="120"/>
              <w:jc w:val="center"/>
            </w:pPr>
            <w:r>
              <w:t>Wyszczególnienie badań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  <w:rPr>
                <w:sz w:val="16"/>
              </w:rPr>
            </w:pPr>
          </w:p>
          <w:p w:rsidR="00E3626E" w:rsidRDefault="00E3626E" w:rsidP="00606717">
            <w:pPr>
              <w:pStyle w:val="tekstost"/>
              <w:spacing w:before="120"/>
              <w:jc w:val="center"/>
              <w:rPr>
                <w:sz w:val="16"/>
              </w:rPr>
            </w:pPr>
            <w:r>
              <w:rPr>
                <w:sz w:val="16"/>
              </w:rPr>
              <w:t>Minimalna liczba badań na dziennej działce roboczej</w:t>
            </w:r>
          </w:p>
        </w:tc>
        <w:tc>
          <w:tcPr>
            <w:tcW w:w="13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>Maksymalna powierzchnia podbudowy lub ulepszonego pod-</w:t>
            </w:r>
          </w:p>
          <w:p w:rsidR="00E3626E" w:rsidRDefault="00E3626E" w:rsidP="00606717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>łoża przypadająca</w:t>
            </w:r>
          </w:p>
          <w:p w:rsidR="00E3626E" w:rsidRDefault="00E3626E" w:rsidP="00606717">
            <w:pPr>
              <w:pStyle w:val="tekstost"/>
              <w:rPr>
                <w:sz w:val="16"/>
              </w:rPr>
            </w:pPr>
            <w:r>
              <w:rPr>
                <w:sz w:val="16"/>
              </w:rPr>
              <w:t>na jedno badanie</w:t>
            </w:r>
          </w:p>
        </w:tc>
      </w:tr>
      <w:tr w:rsidR="00E3626E" w:rsidTr="00606717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1</w:t>
            </w:r>
          </w:p>
        </w:tc>
        <w:tc>
          <w:tcPr>
            <w:tcW w:w="4394" w:type="dxa"/>
            <w:tcBorders>
              <w:left w:val="single" w:sz="6" w:space="0" w:color="auto"/>
              <w:bottom w:val="single" w:sz="6" w:space="0" w:color="auto"/>
            </w:tcBorders>
          </w:tcPr>
          <w:p w:rsidR="00E3626E" w:rsidRDefault="00E3626E" w:rsidP="00606717">
            <w:pPr>
              <w:pStyle w:val="tekstost"/>
            </w:pPr>
            <w:r>
              <w:t>Uziarnienie mieszanki gruntu lub kruszywa</w:t>
            </w:r>
          </w:p>
        </w:tc>
        <w:tc>
          <w:tcPr>
            <w:tcW w:w="1309" w:type="dxa"/>
            <w:tcBorders>
              <w:lef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  <w:tc>
          <w:tcPr>
            <w:tcW w:w="1311" w:type="dxa"/>
            <w:tcBorders>
              <w:left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626E" w:rsidRDefault="00E3626E" w:rsidP="00606717">
            <w:pPr>
              <w:pStyle w:val="tekstost"/>
            </w:pPr>
            <w:r>
              <w:t>Wilgotność mieszanki gruntu lub kruszywa ze spoiwem</w:t>
            </w:r>
          </w:p>
        </w:tc>
        <w:tc>
          <w:tcPr>
            <w:tcW w:w="1309" w:type="dxa"/>
            <w:tcBorders>
              <w:lef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  <w:tc>
          <w:tcPr>
            <w:tcW w:w="1311" w:type="dxa"/>
            <w:tcBorders>
              <w:left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626E" w:rsidRDefault="00E3626E" w:rsidP="00606717">
            <w:pPr>
              <w:pStyle w:val="tekstost"/>
            </w:pPr>
            <w:r>
              <w:t xml:space="preserve">Rozdrobnienie gruntu </w:t>
            </w:r>
            <w:r>
              <w:rPr>
                <w:vertAlign w:val="superscript"/>
              </w:rPr>
              <w:t>1)</w:t>
            </w:r>
          </w:p>
        </w:tc>
        <w:tc>
          <w:tcPr>
            <w:tcW w:w="1309" w:type="dxa"/>
            <w:tcBorders>
              <w:lef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2</w:t>
            </w:r>
          </w:p>
        </w:tc>
        <w:tc>
          <w:tcPr>
            <w:tcW w:w="1311" w:type="dxa"/>
            <w:tcBorders>
              <w:left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600 m</w:t>
            </w:r>
            <w:r>
              <w:rPr>
                <w:vertAlign w:val="superscript"/>
              </w:rPr>
              <w:t>2</w:t>
            </w: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626E" w:rsidRDefault="00E3626E" w:rsidP="00606717">
            <w:pPr>
              <w:pStyle w:val="tekstost"/>
            </w:pPr>
            <w:r>
              <w:t xml:space="preserve">Jednorodność i głębokość wymieszania </w:t>
            </w:r>
            <w:r>
              <w:rPr>
                <w:vertAlign w:val="superscript"/>
              </w:rPr>
              <w:t>2)</w:t>
            </w:r>
          </w:p>
        </w:tc>
        <w:tc>
          <w:tcPr>
            <w:tcW w:w="1309" w:type="dxa"/>
            <w:tcBorders>
              <w:lef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  <w:tc>
          <w:tcPr>
            <w:tcW w:w="1311" w:type="dxa"/>
            <w:tcBorders>
              <w:left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626E" w:rsidRDefault="00E3626E" w:rsidP="00606717">
            <w:pPr>
              <w:pStyle w:val="tekstost"/>
            </w:pPr>
            <w:r>
              <w:t>Zagęszczenie warstwy</w:t>
            </w:r>
          </w:p>
        </w:tc>
        <w:tc>
          <w:tcPr>
            <w:tcW w:w="1309" w:type="dxa"/>
            <w:tcBorders>
              <w:left w:val="single" w:sz="6" w:space="0" w:color="auto"/>
              <w:bottom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  <w:tc>
          <w:tcPr>
            <w:tcW w:w="131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</w:tc>
      </w:tr>
      <w:tr w:rsidR="00E3626E" w:rsidTr="00606717"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60" w:after="60"/>
              <w:jc w:val="center"/>
            </w:pPr>
            <w:r>
              <w:t>6</w:t>
            </w:r>
          </w:p>
        </w:tc>
        <w:tc>
          <w:tcPr>
            <w:tcW w:w="43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60" w:after="60"/>
            </w:pPr>
            <w:r>
              <w:t>Grubość podbudowy lub ulepszonego podłoża</w:t>
            </w:r>
          </w:p>
        </w:tc>
        <w:tc>
          <w:tcPr>
            <w:tcW w:w="13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60" w:after="60"/>
              <w:jc w:val="center"/>
            </w:pPr>
            <w:r>
              <w:t>3</w:t>
            </w:r>
          </w:p>
        </w:tc>
        <w:tc>
          <w:tcPr>
            <w:tcW w:w="1311" w:type="dxa"/>
            <w:tcBorders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60" w:after="60"/>
              <w:jc w:val="center"/>
            </w:pPr>
            <w:r>
              <w:t>400 m</w:t>
            </w:r>
            <w:r>
              <w:rPr>
                <w:vertAlign w:val="superscript"/>
              </w:rPr>
              <w:t>2</w:t>
            </w: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</w:pPr>
            <w:r>
              <w:t>Wytrzymałość na ściskanie</w:t>
            </w:r>
          </w:p>
          <w:p w:rsidR="00E3626E" w:rsidRDefault="00E3626E" w:rsidP="00E3626E">
            <w:pPr>
              <w:pStyle w:val="tekstost"/>
              <w:widowControl/>
              <w:numPr>
                <w:ilvl w:val="0"/>
                <w:numId w:val="2"/>
              </w:num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>7 i 28-dniowa przy stabilizacji cementem                   i wapnem</w:t>
            </w:r>
          </w:p>
          <w:p w:rsidR="00E3626E" w:rsidRDefault="00E3626E" w:rsidP="00E3626E">
            <w:pPr>
              <w:pStyle w:val="tekstost"/>
              <w:widowControl/>
              <w:numPr>
                <w:ilvl w:val="0"/>
                <w:numId w:val="2"/>
              </w:num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>14 i 42-dniowa przy stabilizacji popiołami lotnymi</w:t>
            </w:r>
          </w:p>
          <w:p w:rsidR="00E3626E" w:rsidRDefault="00E3626E" w:rsidP="00E3626E">
            <w:pPr>
              <w:pStyle w:val="tekstost"/>
              <w:widowControl/>
              <w:numPr>
                <w:ilvl w:val="0"/>
                <w:numId w:val="2"/>
              </w:numPr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</w:pPr>
            <w:r>
              <w:t xml:space="preserve">90-dniowa przy stabilizacji żużlem granulowa-  </w:t>
            </w:r>
            <w:proofErr w:type="spellStart"/>
            <w:r>
              <w:t>nym</w:t>
            </w:r>
            <w:proofErr w:type="spellEnd"/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6 próbek</w:t>
            </w: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6 próbek</w:t>
            </w: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3 próbki</w:t>
            </w:r>
          </w:p>
        </w:tc>
        <w:tc>
          <w:tcPr>
            <w:tcW w:w="13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400 m</w:t>
            </w:r>
            <w:r>
              <w:rPr>
                <w:vertAlign w:val="superscript"/>
              </w:rPr>
              <w:t>2</w:t>
            </w: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spacing w:before="120"/>
              <w:jc w:val="center"/>
            </w:pPr>
            <w: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spacing w:before="120"/>
            </w:pPr>
            <w:r>
              <w:t xml:space="preserve">Mrozoodporność </w:t>
            </w:r>
            <w:r>
              <w:rPr>
                <w:vertAlign w:val="superscript"/>
              </w:rPr>
              <w:t>3)</w:t>
            </w: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przy projektowaniu i w przypadkach wątpliwych</w:t>
            </w: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spacing w:before="60"/>
              <w:jc w:val="center"/>
            </w:pPr>
            <w:r>
              <w:t>9</w:t>
            </w: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10</w:t>
            </w: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11</w:t>
            </w:r>
          </w:p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numPr>
                <w:ilvl w:val="12"/>
                <w:numId w:val="0"/>
              </w:numPr>
            </w:pPr>
            <w:r>
              <w:t>Badanie spoiwa:</w:t>
            </w:r>
          </w:p>
          <w:p w:rsidR="00E3626E" w:rsidRDefault="00E3626E" w:rsidP="00E3626E">
            <w:pPr>
              <w:pStyle w:val="tekstost"/>
              <w:widowControl/>
              <w:numPr>
                <w:ilvl w:val="0"/>
                <w:numId w:val="2"/>
              </w:num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cementu,</w:t>
            </w:r>
          </w:p>
          <w:p w:rsidR="00E3626E" w:rsidRDefault="00E3626E" w:rsidP="00E3626E">
            <w:pPr>
              <w:pStyle w:val="tekstost"/>
              <w:widowControl/>
              <w:numPr>
                <w:ilvl w:val="0"/>
                <w:numId w:val="2"/>
              </w:num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wapna,</w:t>
            </w:r>
          </w:p>
          <w:p w:rsidR="00E3626E" w:rsidRDefault="00E3626E" w:rsidP="00E3626E">
            <w:pPr>
              <w:pStyle w:val="tekstost"/>
              <w:widowControl/>
              <w:numPr>
                <w:ilvl w:val="0"/>
                <w:numId w:val="2"/>
              </w:num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popiołów lotnych,</w:t>
            </w:r>
          </w:p>
          <w:p w:rsidR="00E3626E" w:rsidRDefault="00E3626E" w:rsidP="00E3626E">
            <w:pPr>
              <w:pStyle w:val="tekstost"/>
              <w:widowControl/>
              <w:numPr>
                <w:ilvl w:val="0"/>
                <w:numId w:val="2"/>
              </w:numPr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>
              <w:t>żużla granulowanego</w:t>
            </w: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  <w:p w:rsidR="00E3626E" w:rsidRDefault="00E3626E" w:rsidP="00606717">
            <w:pPr>
              <w:pStyle w:val="tekstost"/>
              <w:jc w:val="center"/>
            </w:pPr>
            <w:r>
              <w:t>przy projektowaniu składu mieszanki i przy każdej zmianie</w:t>
            </w: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120"/>
              <w:jc w:val="center"/>
            </w:pPr>
            <w: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120"/>
            </w:pPr>
            <w:r>
              <w:t>Badanie wody</w:t>
            </w: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dla każdego wątpliwego źródła</w:t>
            </w: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</w:p>
          <w:p w:rsidR="00E3626E" w:rsidRDefault="00E3626E" w:rsidP="00606717">
            <w:pPr>
              <w:pStyle w:val="tekstost"/>
              <w:jc w:val="center"/>
            </w:pPr>
            <w:r>
              <w:lastRenderedPageBreak/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</w:pPr>
          </w:p>
          <w:p w:rsidR="00E3626E" w:rsidRDefault="00E3626E" w:rsidP="00606717">
            <w:pPr>
              <w:pStyle w:val="tekstost"/>
            </w:pPr>
            <w:r>
              <w:lastRenderedPageBreak/>
              <w:t>Badanie właściwości gruntu lub kruszywa</w:t>
            </w: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lastRenderedPageBreak/>
              <w:t xml:space="preserve">dla każdej partii i przy </w:t>
            </w:r>
            <w:r>
              <w:lastRenderedPageBreak/>
              <w:t>każdej zmianie rodzaju gruntu lub kruszywa</w:t>
            </w:r>
          </w:p>
        </w:tc>
      </w:tr>
      <w:tr w:rsidR="00E3626E" w:rsidTr="00606717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120"/>
              <w:jc w:val="center"/>
            </w:pPr>
            <w:r>
              <w:lastRenderedPageBreak/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spacing w:before="120"/>
            </w:pPr>
            <w:r>
              <w:t xml:space="preserve">Wskaźnik nośności CBR </w:t>
            </w:r>
            <w:r>
              <w:rPr>
                <w:vertAlign w:val="superscript"/>
              </w:rPr>
              <w:t>4)</w:t>
            </w:r>
          </w:p>
        </w:tc>
        <w:tc>
          <w:tcPr>
            <w:tcW w:w="2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626E" w:rsidRDefault="00E3626E" w:rsidP="00606717">
            <w:pPr>
              <w:pStyle w:val="tekstost"/>
              <w:jc w:val="center"/>
            </w:pPr>
            <w:r>
              <w:t>w przypadkach wątpliwych            i na zlecenie Inżyniera</w:t>
            </w:r>
          </w:p>
        </w:tc>
      </w:tr>
    </w:tbl>
    <w:p w:rsidR="00E3626E" w:rsidRDefault="00E3626E" w:rsidP="00E3626E">
      <w:pPr>
        <w:pStyle w:val="tekstost"/>
      </w:pPr>
    </w:p>
    <w:p w:rsidR="00E3626E" w:rsidRDefault="00E3626E" w:rsidP="00E3626E">
      <w:pPr>
        <w:pStyle w:val="tekstost"/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Badanie wykonuje się dla gruntów spoistych</w:t>
      </w:r>
    </w:p>
    <w:p w:rsidR="00E3626E" w:rsidRDefault="00E3626E" w:rsidP="00E3626E">
      <w:pPr>
        <w:pStyle w:val="tekstost"/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Badanie wykonuje się przy stabilizacji gruntu metodą mieszania na miejscu</w:t>
      </w:r>
    </w:p>
    <w:p w:rsidR="00E3626E" w:rsidRDefault="00E3626E" w:rsidP="00E3626E">
      <w:pPr>
        <w:pStyle w:val="tekstost"/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Badanie wykonuje się przy stabilizacji gruntu lub kruszyw cementem, wapnem                     i popiołami lotnymi</w:t>
      </w:r>
    </w:p>
    <w:p w:rsidR="00E3626E" w:rsidRDefault="00E3626E" w:rsidP="00E3626E">
      <w:pPr>
        <w:pStyle w:val="tekstost"/>
        <w:widowControl/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Badanie wykonuje się przy stabilizacji gruntu wapnem.</w:t>
      </w:r>
    </w:p>
    <w:p w:rsidR="00E3626E" w:rsidRDefault="00E3626E" w:rsidP="00E3626E">
      <w:pPr>
        <w:pStyle w:val="tekstost"/>
      </w:pPr>
    </w:p>
    <w:p w:rsidR="00E3626E" w:rsidRDefault="00E3626E" w:rsidP="00E3626E">
      <w:pPr>
        <w:pStyle w:val="tekstost"/>
      </w:pPr>
      <w:r>
        <w:rPr>
          <w:b/>
        </w:rPr>
        <w:t xml:space="preserve">6.3.2. </w:t>
      </w:r>
      <w:r>
        <w:t>Uziarnienie gruntu lub kruszywa</w:t>
      </w:r>
    </w:p>
    <w:p w:rsidR="00E3626E" w:rsidRDefault="00E3626E" w:rsidP="00E3626E">
      <w:pPr>
        <w:pStyle w:val="tekstost"/>
        <w:spacing w:before="120"/>
      </w:pPr>
      <w:r>
        <w:tab/>
        <w:t>Próbki do badań należy pobierać z mieszarek lub z podłoża przed podaniem spoiwa. Uziarnienie kruszywa lub gruntu powinno być zgodne z wymaganiami podanymi w SST dotyczących poszczególnych rodzajów podbudów i ulepszonego podłoża.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6.3.3. </w:t>
      </w:r>
      <w:r>
        <w:t>Wilgotność mieszanki gruntu lub kruszywa ze spoiwami</w:t>
      </w:r>
    </w:p>
    <w:p w:rsidR="00E3626E" w:rsidRDefault="00E3626E" w:rsidP="00E3626E">
      <w:pPr>
        <w:pStyle w:val="tekstost"/>
        <w:spacing w:before="120"/>
      </w:pPr>
      <w:r>
        <w:tab/>
        <w:t>Wilgotność mieszanki powinna być równa wilgotności optymalnej, określonej w projekcie składu tej mieszanki, z tolerancją +10% -20% jej wartości.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6.3.4. </w:t>
      </w:r>
      <w:r>
        <w:t>Rozdrobnienie gruntu</w:t>
      </w:r>
    </w:p>
    <w:p w:rsidR="00E3626E" w:rsidRDefault="00E3626E" w:rsidP="00E3626E">
      <w:pPr>
        <w:pStyle w:val="tekstost"/>
        <w:spacing w:before="120"/>
      </w:pPr>
      <w:r>
        <w:tab/>
        <w:t>Grunt powinien być spulchniony i rozdrobniony tak, aby wskaźnik rozdrobnienia był  co najmniej równy 80% (przez sito o średnicy 4 mm powinno przejść 80% gruntu).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6.3.5. </w:t>
      </w:r>
      <w:r>
        <w:t>Jednorodność i głębokość wymieszania</w:t>
      </w:r>
    </w:p>
    <w:p w:rsidR="00E3626E" w:rsidRDefault="00E3626E" w:rsidP="00E3626E">
      <w:pPr>
        <w:pStyle w:val="tekstost"/>
        <w:spacing w:before="120"/>
      </w:pPr>
      <w:r>
        <w:tab/>
        <w:t>Jednorodność wymieszania gruntu ze spoiwem polega na ocenie wizualnej jednolitego zabarwienia mieszanki.</w:t>
      </w:r>
    </w:p>
    <w:p w:rsidR="00E3626E" w:rsidRDefault="00E3626E" w:rsidP="00E3626E">
      <w:pPr>
        <w:pStyle w:val="tekstost"/>
      </w:pPr>
      <w:r>
        <w:tab/>
        <w:t>Głębokość wymieszania mierzy się w odległości min. 0,5 m od krawędzi podbudowy czy ulepszonego podłoża. Głębokość wymieszania powinna być taka, aby grubość warstwy                       po zagęszczeniu była równa projektowanej.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6.3.6. </w:t>
      </w:r>
      <w:r>
        <w:t>Zagęszczenie warstwy</w:t>
      </w:r>
    </w:p>
    <w:p w:rsidR="00E3626E" w:rsidRDefault="00E3626E" w:rsidP="00E3626E">
      <w:pPr>
        <w:pStyle w:val="tekstost"/>
        <w:spacing w:before="120"/>
      </w:pPr>
      <w:r>
        <w:tab/>
        <w:t>Mieszanka powinna być zagęszczana do osiągnięcia wskaźnika zagęszczenia nie mniejszego od 1,00 oznaczonego zgodnie z BN-77/8931-12 [25].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6.3.7. </w:t>
      </w:r>
      <w:r>
        <w:t>Grubość podbudowy lub ulepszonego podłoża</w:t>
      </w:r>
    </w:p>
    <w:p w:rsidR="00E3626E" w:rsidRPr="00E3626E" w:rsidRDefault="00E3626E" w:rsidP="00E3626E">
      <w:pPr>
        <w:pStyle w:val="tekstost"/>
        <w:spacing w:before="120"/>
      </w:pPr>
      <w:r>
        <w:tab/>
        <w:t xml:space="preserve">Grubość warstwy należy mierzyć bezpośrednio po jej zagęszczeniu w odległości               co najmniej 0,5 m od krawędzi. Grubość warstwy nie może różnić się od projektowanej o więcej niż </w:t>
      </w:r>
      <w:r>
        <w:sym w:font="Symbol" w:char="F0B1"/>
      </w:r>
      <w:r>
        <w:t xml:space="preserve"> 1 cm.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6.3.8. </w:t>
      </w:r>
      <w:r>
        <w:t>Wytrzymałość na ściskanie</w:t>
      </w:r>
    </w:p>
    <w:p w:rsidR="00E3626E" w:rsidRDefault="00E3626E" w:rsidP="00E3626E">
      <w:pPr>
        <w:pStyle w:val="tekstost"/>
        <w:spacing w:before="120"/>
      </w:pPr>
      <w:r>
        <w:tab/>
        <w:t xml:space="preserve">Wytrzymałość na ściskanie określa się na próbkach walcowych o średnicy i wysokości 8 cm. Próbki do badań należy pobierać z miejsc wybranych losowo, w warstwie rozłożonej przed jej zagęszczeniem. Próbki w ilości 6 sztuk należy formować i przechowywać zgodnie </w:t>
      </w:r>
    </w:p>
    <w:p w:rsidR="00E3626E" w:rsidRDefault="00E3626E" w:rsidP="00E3626E">
      <w:pPr>
        <w:pStyle w:val="tekstost"/>
        <w:spacing w:before="120"/>
      </w:pPr>
      <w:r>
        <w:t>z normami dotyczącymi poszczególnych rodzajów stabilizacji spoiwami. Trzy próbki należy badać po 7 lub 14 dniach oraz po 28 lub 42 dniach przechowywania, a w przypadku stabilizacji żużlem granulowanym po 90 dniach przechowywania. Wyniki wytrzymałości na ściskanie powinny być zgodne z wymaganiami podanymi w OST dotyczących poszczególnych rodzajów podbudów i ulepszonego podłoża.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lastRenderedPageBreak/>
        <w:t xml:space="preserve">6.3.9. </w:t>
      </w:r>
      <w:r>
        <w:t>Mrozoodporność</w:t>
      </w:r>
    </w:p>
    <w:p w:rsidR="00E3626E" w:rsidRDefault="00E3626E" w:rsidP="00E3626E">
      <w:pPr>
        <w:pStyle w:val="tekstost"/>
        <w:spacing w:before="120"/>
      </w:pPr>
      <w:r>
        <w:tab/>
        <w:t>Wskaźnik mrozoodporności określany przez spadek wytrzymałości na ściskanie próbek poddawanych cyklom zamrażania i odmrażania powinien być zgodny z wymaganiami podanymi w SST dotyczących poszczególnych rodzajów podbudów i ulepszonego podłoża.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>6.3.10.</w:t>
      </w:r>
      <w:r>
        <w:t xml:space="preserve"> Badanie spoiwa</w:t>
      </w:r>
    </w:p>
    <w:p w:rsidR="00E3626E" w:rsidRDefault="00E3626E" w:rsidP="00E3626E">
      <w:pPr>
        <w:pStyle w:val="tekstost"/>
        <w:spacing w:before="120"/>
      </w:pPr>
      <w:r>
        <w:tab/>
        <w:t>Dla każdej dostawy cementu, Wykonawca powinien określić właściwości podane                   w SST dotyczących poszczególnych rodzajów podbudów i ulepszonego podłoża.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6.3.11. </w:t>
      </w:r>
      <w:r>
        <w:t>Badanie wody</w:t>
      </w:r>
    </w:p>
    <w:p w:rsidR="00E3626E" w:rsidRDefault="00E3626E" w:rsidP="00E3626E">
      <w:pPr>
        <w:pStyle w:val="tekstost"/>
        <w:spacing w:before="120"/>
      </w:pPr>
      <w:r>
        <w:tab/>
        <w:t>W przypadkach wątpliwych należy przeprowadzić badania wody wg PN-B-32250 [13].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6.3.12. </w:t>
      </w:r>
      <w:r>
        <w:t>Badanie właściwości gruntu lub kruszywa</w:t>
      </w:r>
    </w:p>
    <w:p w:rsidR="00E3626E" w:rsidRDefault="00E3626E" w:rsidP="00E3626E">
      <w:pPr>
        <w:pStyle w:val="tekstost"/>
        <w:spacing w:before="120"/>
      </w:pPr>
      <w:r>
        <w:tab/>
        <w:t>Właściwości gruntu lub kruszywa należy badać przy każdej zmianie rodzaju gruntu lub kruszywa. Właściwości powinny być zgodne z wymaganiami podanymi w OST dotyczących poszczególnych rodzajów podbudów i ulepszonego podłoża.</w:t>
      </w:r>
    </w:p>
    <w:p w:rsidR="00E3626E" w:rsidRDefault="00E3626E" w:rsidP="00E3626E">
      <w:pPr>
        <w:pStyle w:val="tekstost"/>
        <w:spacing w:before="120"/>
      </w:pPr>
      <w:r>
        <w:rPr>
          <w:b/>
        </w:rPr>
        <w:t xml:space="preserve">6.3.13. </w:t>
      </w:r>
      <w:r>
        <w:t>Wskaźnik nośności CBR</w:t>
      </w:r>
    </w:p>
    <w:p w:rsidR="00E3626E" w:rsidRDefault="00E3626E" w:rsidP="00E3626E">
      <w:pPr>
        <w:pStyle w:val="tekstost"/>
        <w:spacing w:before="120"/>
      </w:pPr>
      <w:r>
        <w:tab/>
        <w:t>Wskaźnik nośności CBR określa się wg normy BN-70/8931-05 [13] dla próbek gruntu stabilizowanego wapnem, pielęgnowanych zgodnie z wymaganiami PN-S-96011 [16].</w:t>
      </w:r>
    </w:p>
    <w:p w:rsidR="00E3626E" w:rsidRDefault="00E3626E" w:rsidP="00E3626E">
      <w:pPr>
        <w:pStyle w:val="Nagwek2"/>
        <w:spacing w:after="0"/>
      </w:pPr>
      <w:r>
        <w:t xml:space="preserve">6.4. Wymagania dotyczące cech geometrycznych i wytrzymałościowych podbudowy </w:t>
      </w:r>
    </w:p>
    <w:p w:rsidR="00E3626E" w:rsidRDefault="00E3626E" w:rsidP="00E3626E">
      <w:pPr>
        <w:spacing w:after="120"/>
      </w:pPr>
      <w:r>
        <w:t xml:space="preserve">        </w:t>
      </w:r>
      <w:r>
        <w:rPr>
          <w:b/>
        </w:rPr>
        <w:t>lub ulepszonego podłoża stabilizowanych spoiwami</w:t>
      </w:r>
    </w:p>
    <w:p w:rsidR="00E3626E" w:rsidRDefault="00E3626E" w:rsidP="00E3626E">
      <w:r>
        <w:rPr>
          <w:b/>
        </w:rPr>
        <w:t xml:space="preserve">6.4.1. </w:t>
      </w:r>
      <w:r>
        <w:t>Częstotliwość oraz zakres badań i  pomiarów</w:t>
      </w:r>
    </w:p>
    <w:p w:rsidR="00E3626E" w:rsidRDefault="00E3626E" w:rsidP="00E3626E">
      <w:pPr>
        <w:spacing w:before="120"/>
      </w:pPr>
      <w:r>
        <w:tab/>
        <w:t xml:space="preserve"> Częstotliwość oraz zakres badań i pomiarów dotyczących cech geometrycznych  podaje  tablica 2.</w:t>
      </w:r>
    </w:p>
    <w:p w:rsidR="00E3626E" w:rsidRDefault="00E3626E" w:rsidP="00E3626E">
      <w:pPr>
        <w:spacing w:before="60"/>
      </w:pPr>
      <w:r>
        <w:t>Tablica 2. Częstotliwość oraz zakres badań i  pomiarów wykonanej podbudowy                                        lub ulepszonego podłoża stabilizowanych spoiwami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3391"/>
        <w:gridCol w:w="3402"/>
      </w:tblGrid>
      <w:tr w:rsidR="00E3626E" w:rsidTr="00606717">
        <w:tc>
          <w:tcPr>
            <w:tcW w:w="790" w:type="dxa"/>
            <w:tcBorders>
              <w:bottom w:val="double" w:sz="6" w:space="0" w:color="auto"/>
            </w:tcBorders>
          </w:tcPr>
          <w:p w:rsidR="00E3626E" w:rsidRDefault="00E3626E" w:rsidP="00606717">
            <w:pPr>
              <w:spacing w:before="120" w:after="60"/>
              <w:ind w:right="-11"/>
              <w:jc w:val="center"/>
              <w:rPr>
                <w:b/>
              </w:rPr>
            </w:pPr>
            <w:r>
              <w:t>Lp.</w:t>
            </w:r>
          </w:p>
        </w:tc>
        <w:tc>
          <w:tcPr>
            <w:tcW w:w="3391" w:type="dxa"/>
            <w:tcBorders>
              <w:bottom w:val="double" w:sz="6" w:space="0" w:color="auto"/>
            </w:tcBorders>
          </w:tcPr>
          <w:p w:rsidR="00E3626E" w:rsidRDefault="00E3626E" w:rsidP="00606717">
            <w:pPr>
              <w:spacing w:before="120" w:after="60"/>
              <w:ind w:right="-11"/>
              <w:jc w:val="center"/>
              <w:rPr>
                <w:b/>
              </w:rPr>
            </w:pPr>
            <w:r>
              <w:t>Wyszczególnienie badań i pomiarów</w:t>
            </w:r>
          </w:p>
        </w:tc>
        <w:tc>
          <w:tcPr>
            <w:tcW w:w="3402" w:type="dxa"/>
            <w:tcBorders>
              <w:bottom w:val="double" w:sz="6" w:space="0" w:color="auto"/>
            </w:tcBorders>
          </w:tcPr>
          <w:p w:rsidR="00E3626E" w:rsidRDefault="00E3626E" w:rsidP="00606717">
            <w:pPr>
              <w:ind w:right="-11"/>
              <w:jc w:val="center"/>
            </w:pPr>
            <w:r>
              <w:t xml:space="preserve">Minimalna częstotliwość </w:t>
            </w:r>
          </w:p>
          <w:p w:rsidR="00E3626E" w:rsidRDefault="00E3626E" w:rsidP="00606717">
            <w:pPr>
              <w:ind w:right="-11"/>
              <w:jc w:val="center"/>
              <w:rPr>
                <w:b/>
              </w:rPr>
            </w:pPr>
            <w:r>
              <w:t>badań i  pomiarów</w:t>
            </w:r>
          </w:p>
        </w:tc>
      </w:tr>
      <w:tr w:rsidR="00E3626E" w:rsidTr="00606717">
        <w:tc>
          <w:tcPr>
            <w:tcW w:w="790" w:type="dxa"/>
            <w:tcBorders>
              <w:top w:val="nil"/>
            </w:tcBorders>
          </w:tcPr>
          <w:p w:rsidR="00E3626E" w:rsidRDefault="00E3626E" w:rsidP="00606717">
            <w:pPr>
              <w:spacing w:before="60" w:after="60"/>
              <w:ind w:right="-14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3391" w:type="dxa"/>
            <w:tcBorders>
              <w:top w:val="nil"/>
            </w:tcBorders>
          </w:tcPr>
          <w:p w:rsidR="00E3626E" w:rsidRDefault="00E3626E" w:rsidP="00606717">
            <w:pPr>
              <w:spacing w:before="60" w:after="60"/>
              <w:ind w:right="-14"/>
              <w:rPr>
                <w:b/>
              </w:rPr>
            </w:pPr>
            <w:r>
              <w:t xml:space="preserve">Szerokość </w:t>
            </w:r>
          </w:p>
        </w:tc>
        <w:tc>
          <w:tcPr>
            <w:tcW w:w="3402" w:type="dxa"/>
            <w:tcBorders>
              <w:top w:val="nil"/>
            </w:tcBorders>
          </w:tcPr>
          <w:p w:rsidR="00E3626E" w:rsidRDefault="00E3626E" w:rsidP="00606717">
            <w:pPr>
              <w:spacing w:before="60" w:after="60"/>
              <w:ind w:right="-14"/>
              <w:rPr>
                <w:b/>
              </w:rPr>
            </w:pPr>
            <w:r>
              <w:t>10 razy na 1 km</w:t>
            </w:r>
          </w:p>
        </w:tc>
      </w:tr>
      <w:tr w:rsidR="00E3626E" w:rsidTr="00606717">
        <w:tc>
          <w:tcPr>
            <w:tcW w:w="790" w:type="dxa"/>
          </w:tcPr>
          <w:p w:rsidR="00E3626E" w:rsidRDefault="00E3626E" w:rsidP="00606717">
            <w:pPr>
              <w:spacing w:before="120" w:after="60"/>
              <w:ind w:right="-11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3391" w:type="dxa"/>
          </w:tcPr>
          <w:p w:rsidR="00E3626E" w:rsidRDefault="00E3626E" w:rsidP="00606717">
            <w:pPr>
              <w:spacing w:before="120" w:after="60"/>
              <w:ind w:right="-11"/>
              <w:rPr>
                <w:b/>
              </w:rPr>
            </w:pPr>
            <w:r>
              <w:t>Równość podłużna</w:t>
            </w:r>
          </w:p>
        </w:tc>
        <w:tc>
          <w:tcPr>
            <w:tcW w:w="3402" w:type="dxa"/>
          </w:tcPr>
          <w:p w:rsidR="00E3626E" w:rsidRDefault="00E3626E" w:rsidP="00606717">
            <w:pPr>
              <w:ind w:right="-11"/>
              <w:rPr>
                <w:b/>
              </w:rPr>
            </w:pPr>
            <w:r>
              <w:t xml:space="preserve">w sposób ciągły </w:t>
            </w:r>
            <w:proofErr w:type="spellStart"/>
            <w:r>
              <w:t>planografem</w:t>
            </w:r>
            <w:proofErr w:type="spellEnd"/>
            <w:r>
              <w:t xml:space="preserve"> albo co        20 m łatą na każdym pasie ruchu</w:t>
            </w:r>
          </w:p>
        </w:tc>
      </w:tr>
      <w:tr w:rsidR="00E3626E" w:rsidTr="00606717">
        <w:tc>
          <w:tcPr>
            <w:tcW w:w="790" w:type="dxa"/>
          </w:tcPr>
          <w:p w:rsidR="00E3626E" w:rsidRDefault="00E3626E" w:rsidP="00606717">
            <w:pPr>
              <w:spacing w:before="60" w:after="60"/>
              <w:ind w:right="-14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3391" w:type="dxa"/>
          </w:tcPr>
          <w:p w:rsidR="00E3626E" w:rsidRDefault="00E3626E" w:rsidP="00606717">
            <w:pPr>
              <w:spacing w:before="60" w:after="60"/>
              <w:ind w:right="-14"/>
              <w:rPr>
                <w:b/>
              </w:rPr>
            </w:pPr>
            <w:r>
              <w:t>Równość poprzeczna</w:t>
            </w:r>
          </w:p>
        </w:tc>
        <w:tc>
          <w:tcPr>
            <w:tcW w:w="3402" w:type="dxa"/>
          </w:tcPr>
          <w:p w:rsidR="00E3626E" w:rsidRDefault="00E3626E" w:rsidP="00606717">
            <w:pPr>
              <w:spacing w:before="60" w:after="60"/>
              <w:ind w:right="-14"/>
              <w:rPr>
                <w:b/>
              </w:rPr>
            </w:pPr>
            <w:r>
              <w:t>10 razy na 1 km</w:t>
            </w:r>
          </w:p>
        </w:tc>
      </w:tr>
      <w:tr w:rsidR="00E3626E" w:rsidTr="00606717">
        <w:tc>
          <w:tcPr>
            <w:tcW w:w="790" w:type="dxa"/>
          </w:tcPr>
          <w:p w:rsidR="00E3626E" w:rsidRDefault="00E3626E" w:rsidP="00606717">
            <w:pPr>
              <w:spacing w:before="60" w:after="60"/>
              <w:ind w:right="-14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3391" w:type="dxa"/>
          </w:tcPr>
          <w:p w:rsidR="00E3626E" w:rsidRDefault="00E3626E" w:rsidP="00606717">
            <w:pPr>
              <w:spacing w:before="60" w:after="60"/>
              <w:ind w:right="-14"/>
              <w:rPr>
                <w:b/>
              </w:rPr>
            </w:pPr>
            <w:r>
              <w:t>Spadki poprzeczne*</w:t>
            </w:r>
            <w:r>
              <w:rPr>
                <w:vertAlign w:val="superscript"/>
              </w:rPr>
              <w:t>)</w:t>
            </w:r>
          </w:p>
        </w:tc>
        <w:tc>
          <w:tcPr>
            <w:tcW w:w="3402" w:type="dxa"/>
            <w:tcBorders>
              <w:bottom w:val="nil"/>
            </w:tcBorders>
          </w:tcPr>
          <w:p w:rsidR="00E3626E" w:rsidRDefault="00E3626E" w:rsidP="00606717">
            <w:pPr>
              <w:spacing w:before="60" w:after="60"/>
              <w:ind w:right="-14"/>
              <w:rPr>
                <w:b/>
              </w:rPr>
            </w:pPr>
            <w:r>
              <w:t>10 razy na 1 km</w:t>
            </w:r>
          </w:p>
        </w:tc>
      </w:tr>
      <w:tr w:rsidR="00E3626E" w:rsidTr="00606717">
        <w:tc>
          <w:tcPr>
            <w:tcW w:w="790" w:type="dxa"/>
          </w:tcPr>
          <w:p w:rsidR="00E3626E" w:rsidRDefault="00E3626E" w:rsidP="00606717">
            <w:pPr>
              <w:spacing w:before="60" w:after="60"/>
              <w:ind w:right="-11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3391" w:type="dxa"/>
          </w:tcPr>
          <w:p w:rsidR="00E3626E" w:rsidRDefault="00E3626E" w:rsidP="00606717">
            <w:pPr>
              <w:spacing w:before="60" w:after="60"/>
              <w:ind w:right="-11"/>
              <w:rPr>
                <w:b/>
              </w:rPr>
            </w:pPr>
            <w:r>
              <w:t>Rzędne wysokościowe</w:t>
            </w:r>
          </w:p>
        </w:tc>
        <w:tc>
          <w:tcPr>
            <w:tcW w:w="3402" w:type="dxa"/>
            <w:tcBorders>
              <w:bottom w:val="nil"/>
            </w:tcBorders>
          </w:tcPr>
          <w:p w:rsidR="00E3626E" w:rsidRDefault="00E3626E" w:rsidP="00606717">
            <w:pPr>
              <w:spacing w:before="120"/>
              <w:ind w:right="-11"/>
            </w:pPr>
            <w:r>
              <w:t>co 100 m</w:t>
            </w:r>
          </w:p>
        </w:tc>
      </w:tr>
      <w:tr w:rsidR="00E3626E" w:rsidTr="00606717">
        <w:tc>
          <w:tcPr>
            <w:tcW w:w="790" w:type="dxa"/>
          </w:tcPr>
          <w:p w:rsidR="00E3626E" w:rsidRDefault="00E3626E" w:rsidP="00606717">
            <w:pPr>
              <w:spacing w:before="60" w:after="60"/>
              <w:ind w:right="-14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3391" w:type="dxa"/>
          </w:tcPr>
          <w:p w:rsidR="00E3626E" w:rsidRDefault="00E3626E" w:rsidP="00606717">
            <w:pPr>
              <w:spacing w:before="60" w:after="60"/>
              <w:ind w:right="-14"/>
              <w:rPr>
                <w:b/>
              </w:rPr>
            </w:pPr>
            <w:r>
              <w:t>Ukształtowanie osi w planie*</w:t>
            </w:r>
            <w:r>
              <w:rPr>
                <w:vertAlign w:val="superscript"/>
              </w:rPr>
              <w:t>)</w:t>
            </w:r>
          </w:p>
        </w:tc>
        <w:tc>
          <w:tcPr>
            <w:tcW w:w="3402" w:type="dxa"/>
            <w:tcBorders>
              <w:top w:val="nil"/>
            </w:tcBorders>
          </w:tcPr>
          <w:p w:rsidR="00E3626E" w:rsidRDefault="00E3626E" w:rsidP="00606717">
            <w:pPr>
              <w:spacing w:after="60"/>
              <w:ind w:right="-11"/>
              <w:rPr>
                <w:b/>
              </w:rPr>
            </w:pPr>
          </w:p>
        </w:tc>
      </w:tr>
      <w:tr w:rsidR="00E3626E" w:rsidTr="00606717">
        <w:tc>
          <w:tcPr>
            <w:tcW w:w="790" w:type="dxa"/>
          </w:tcPr>
          <w:p w:rsidR="00E3626E" w:rsidRDefault="00E3626E" w:rsidP="00606717">
            <w:pPr>
              <w:spacing w:after="60"/>
              <w:ind w:right="-11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3391" w:type="dxa"/>
          </w:tcPr>
          <w:p w:rsidR="00E3626E" w:rsidRDefault="00E3626E" w:rsidP="00606717">
            <w:pPr>
              <w:spacing w:after="60"/>
              <w:ind w:right="-11"/>
              <w:rPr>
                <w:b/>
              </w:rPr>
            </w:pPr>
            <w:r>
              <w:t>Grubość podbudowy i ulepszonego podłoża</w:t>
            </w:r>
          </w:p>
        </w:tc>
        <w:tc>
          <w:tcPr>
            <w:tcW w:w="3402" w:type="dxa"/>
          </w:tcPr>
          <w:p w:rsidR="00E3626E" w:rsidRDefault="00E3626E" w:rsidP="00606717">
            <w:pPr>
              <w:ind w:right="-11"/>
              <w:rPr>
                <w:b/>
              </w:rPr>
            </w:pPr>
            <w:r>
              <w:t>w 3 punktach, lecz nie rzadziej niż raz na 2000 m</w:t>
            </w:r>
            <w:r>
              <w:rPr>
                <w:vertAlign w:val="superscript"/>
              </w:rPr>
              <w:t>2</w:t>
            </w:r>
          </w:p>
        </w:tc>
      </w:tr>
    </w:tbl>
    <w:p w:rsidR="00E3626E" w:rsidRDefault="00E3626E" w:rsidP="00E3626E">
      <w:pPr>
        <w:spacing w:before="120"/>
        <w:ind w:left="284" w:right="-11" w:hanging="284"/>
      </w:pPr>
      <w:r>
        <w:t>*) Dodatkowe pomiary spadków poprzecznych i ukształtowania osi w planie należy wykonać w punktach głównych łuków poziomych.</w:t>
      </w:r>
    </w:p>
    <w:p w:rsidR="00E3626E" w:rsidRDefault="00E3626E" w:rsidP="00E3626E">
      <w:pPr>
        <w:keepNext/>
        <w:spacing w:before="120" w:after="120"/>
        <w:ind w:right="-11"/>
      </w:pPr>
      <w:r>
        <w:rPr>
          <w:b/>
        </w:rPr>
        <w:t xml:space="preserve">6.4.2. </w:t>
      </w:r>
      <w:r>
        <w:t>Szerokość podbudowy i ulepszonego podłoża</w:t>
      </w:r>
    </w:p>
    <w:p w:rsidR="00E3626E" w:rsidRDefault="00E3626E" w:rsidP="00E3626E">
      <w:pPr>
        <w:ind w:right="-11"/>
      </w:pPr>
      <w:r>
        <w:tab/>
        <w:t xml:space="preserve">Szerokość podbudowy i ulepszonego podłoża nie może różnić się od szerokości </w:t>
      </w:r>
      <w:r>
        <w:lastRenderedPageBreak/>
        <w:t>projektowanej o więcej niż +10 cm, -5 cm.</w:t>
      </w:r>
    </w:p>
    <w:p w:rsidR="00E3626E" w:rsidRDefault="00E3626E" w:rsidP="00E3626E">
      <w:pPr>
        <w:ind w:right="-11"/>
      </w:pPr>
      <w:r>
        <w:tab/>
        <w:t>Na jezdniach bez krawężników szerokość podbudowy powinna być większa                          od szerokości warstwy wyżej leżącej o co najmniej 25 cm lub o wartość wskazaną                             w dokumentacji projektowej.</w:t>
      </w:r>
    </w:p>
    <w:p w:rsidR="00E3626E" w:rsidRDefault="00E3626E" w:rsidP="00E3626E">
      <w:pPr>
        <w:spacing w:before="120" w:after="120"/>
        <w:ind w:right="-11"/>
      </w:pPr>
      <w:r>
        <w:rPr>
          <w:b/>
        </w:rPr>
        <w:t xml:space="preserve">6.4.3. </w:t>
      </w:r>
      <w:r>
        <w:t>Równość podbudowy i ulepszonego podłoża</w:t>
      </w:r>
    </w:p>
    <w:p w:rsidR="00E3626E" w:rsidRDefault="00E3626E" w:rsidP="00E3626E">
      <w:pPr>
        <w:ind w:right="-11"/>
      </w:pPr>
      <w:r>
        <w:tab/>
        <w:t xml:space="preserve">Nierówności podłużne podbudowy i ulepszonego podłoża należy mierzyć                                              4-metrową łatą lub </w:t>
      </w:r>
      <w:proofErr w:type="spellStart"/>
      <w:r>
        <w:t>planografem</w:t>
      </w:r>
      <w:proofErr w:type="spellEnd"/>
      <w:r>
        <w:t xml:space="preserve">. </w:t>
      </w:r>
    </w:p>
    <w:p w:rsidR="00E3626E" w:rsidRDefault="00E3626E" w:rsidP="00E3626E">
      <w:pPr>
        <w:ind w:right="-11"/>
      </w:pPr>
      <w:r>
        <w:tab/>
        <w:t xml:space="preserve">Nierówności poprzeczne podbudowy i ulepszonego podłoża należy mierzyć                               4-metrową łatą. </w:t>
      </w:r>
    </w:p>
    <w:p w:rsidR="00E3626E" w:rsidRDefault="00E3626E" w:rsidP="00E3626E">
      <w:pPr>
        <w:ind w:right="-11"/>
      </w:pPr>
      <w:r>
        <w:tab/>
        <w:t>Nierówności nie powinny  przekraczać:</w:t>
      </w:r>
    </w:p>
    <w:p w:rsidR="00E3626E" w:rsidRDefault="00E3626E" w:rsidP="00E3626E">
      <w:pPr>
        <w:ind w:right="-11"/>
      </w:pPr>
      <w:r>
        <w:t>-  12 mm dla podbudowy zasadniczej,</w:t>
      </w:r>
    </w:p>
    <w:p w:rsidR="00E3626E" w:rsidRDefault="00E3626E" w:rsidP="00E3626E">
      <w:pPr>
        <w:ind w:right="-11"/>
      </w:pPr>
      <w:r>
        <w:t>-  15 mm dla podbudowy pomocniczej i ulepszonego podłoża.</w:t>
      </w:r>
    </w:p>
    <w:p w:rsidR="00E3626E" w:rsidRDefault="00E3626E" w:rsidP="00E3626E">
      <w:pPr>
        <w:spacing w:before="120" w:after="120"/>
        <w:ind w:right="-11"/>
      </w:pPr>
      <w:r>
        <w:rPr>
          <w:b/>
        </w:rPr>
        <w:t xml:space="preserve">6.4.4. </w:t>
      </w:r>
      <w:r>
        <w:t>Spadki poprzeczne podbudowy i ulepszonego podłoża</w:t>
      </w:r>
    </w:p>
    <w:p w:rsidR="00E3626E" w:rsidRDefault="00E3626E" w:rsidP="00E3626E">
      <w:pPr>
        <w:ind w:right="-11"/>
      </w:pPr>
      <w:r>
        <w:tab/>
        <w:t xml:space="preserve">Spadki poprzeczne podbudowy i ulepszonego podłoża powinny być zgodne                                z dokumentacją projektową z tolerancją </w:t>
      </w:r>
      <w:r>
        <w:sym w:font="Symbol" w:char="F0B1"/>
      </w:r>
      <w:r>
        <w:t xml:space="preserve"> 0,5 %.</w:t>
      </w:r>
    </w:p>
    <w:p w:rsidR="00E3626E" w:rsidRDefault="00E3626E" w:rsidP="00E3626E">
      <w:pPr>
        <w:spacing w:before="120" w:after="120"/>
        <w:ind w:right="-11"/>
      </w:pPr>
      <w:r>
        <w:rPr>
          <w:b/>
        </w:rPr>
        <w:t xml:space="preserve">6.4.5. </w:t>
      </w:r>
      <w:r>
        <w:t>Rzędne wysokościowe podbudowy i ulepszonego podłoża</w:t>
      </w:r>
    </w:p>
    <w:p w:rsidR="00E3626E" w:rsidRDefault="00E3626E" w:rsidP="00E3626E">
      <w:pPr>
        <w:ind w:right="-11"/>
      </w:pPr>
      <w:r>
        <w:tab/>
        <w:t>Różnice pomiędzy rzędnymi wykonanej podbudowy i ulepszonego podłoża                              a rzędnymi projektowanymi nie powinny przekraczać + 1 cm, -2 cm.</w:t>
      </w:r>
    </w:p>
    <w:p w:rsidR="00E3626E" w:rsidRDefault="00E3626E" w:rsidP="00E3626E">
      <w:pPr>
        <w:spacing w:before="120" w:after="120"/>
        <w:ind w:right="-11"/>
      </w:pPr>
      <w:r>
        <w:rPr>
          <w:b/>
        </w:rPr>
        <w:t xml:space="preserve">6.4.6. </w:t>
      </w:r>
      <w:r>
        <w:t>Ukształtowanie osi podbudowy i ulepszonego podłoża</w:t>
      </w:r>
    </w:p>
    <w:p w:rsidR="00E3626E" w:rsidRDefault="00E3626E" w:rsidP="00E3626E">
      <w:pPr>
        <w:ind w:right="-11"/>
      </w:pPr>
      <w:r>
        <w:tab/>
        <w:t xml:space="preserve">Oś podbudowy i ulepszonego podłoża w planie nie może być przesunięta w stosunku do osi projektowanej o więcej niż </w:t>
      </w:r>
      <w:r>
        <w:sym w:font="Symbol" w:char="F0B1"/>
      </w:r>
      <w:r>
        <w:t xml:space="preserve"> 5 cm.</w:t>
      </w:r>
    </w:p>
    <w:p w:rsidR="00E3626E" w:rsidRDefault="00E3626E" w:rsidP="00E3626E">
      <w:pPr>
        <w:spacing w:before="120" w:after="120"/>
        <w:ind w:right="-11"/>
      </w:pPr>
      <w:r>
        <w:rPr>
          <w:b/>
        </w:rPr>
        <w:t xml:space="preserve">6.4.7. </w:t>
      </w:r>
      <w:r>
        <w:t>Grubość podbudowy i ulepszonego podłoża</w:t>
      </w:r>
    </w:p>
    <w:p w:rsidR="00E3626E" w:rsidRDefault="00E3626E" w:rsidP="00E3626E">
      <w:pPr>
        <w:ind w:right="-11"/>
      </w:pPr>
      <w:r>
        <w:tab/>
        <w:t>Grubość podbudowy i ulepszonego podłoża nie może różnić się od grubości projektowanej o więcej niż:</w:t>
      </w:r>
    </w:p>
    <w:p w:rsidR="00E3626E" w:rsidRDefault="00E3626E" w:rsidP="00E3626E">
      <w:pPr>
        <w:ind w:right="-11"/>
      </w:pPr>
      <w:r>
        <w:t xml:space="preserve">- dla podbudowy zasadniczej  </w:t>
      </w:r>
      <w:r>
        <w:sym w:font="Symbol" w:char="F0B1"/>
      </w:r>
      <w:r>
        <w:t xml:space="preserve"> 10%,</w:t>
      </w:r>
    </w:p>
    <w:p w:rsidR="00E3626E" w:rsidRDefault="00E3626E" w:rsidP="00E3626E">
      <w:pPr>
        <w:pStyle w:val="tekstost"/>
      </w:pPr>
      <w:r>
        <w:t>- dla podbudowy pomocniczej i ulepszonego podłoża  +10%, -15%.</w:t>
      </w:r>
    </w:p>
    <w:p w:rsidR="00E3626E" w:rsidRDefault="00E3626E" w:rsidP="00E3626E">
      <w:pPr>
        <w:pStyle w:val="Nagwek2"/>
        <w:spacing w:after="0"/>
      </w:pPr>
      <w:r>
        <w:t xml:space="preserve">6.5. Zasady postępowania z wadliwie wykonanymi odcinkami podbudowy </w:t>
      </w:r>
    </w:p>
    <w:p w:rsidR="00E3626E" w:rsidRDefault="00E3626E" w:rsidP="00E3626E">
      <w:pPr>
        <w:spacing w:after="120"/>
        <w:rPr>
          <w:b/>
        </w:rPr>
      </w:pPr>
      <w:r>
        <w:t xml:space="preserve">        </w:t>
      </w:r>
      <w:r>
        <w:rPr>
          <w:b/>
        </w:rPr>
        <w:t>i ulepszonego podłoża</w:t>
      </w:r>
    </w:p>
    <w:p w:rsidR="00E3626E" w:rsidRDefault="00E3626E" w:rsidP="00E3626E">
      <w:pPr>
        <w:spacing w:after="120"/>
      </w:pPr>
      <w:r>
        <w:rPr>
          <w:b/>
        </w:rPr>
        <w:t xml:space="preserve">6.5.1. </w:t>
      </w:r>
      <w:r>
        <w:t>Niewłaściwe cechy geometryczne podbudowy i ulepszonego podłoża</w:t>
      </w:r>
    </w:p>
    <w:p w:rsidR="00E3626E" w:rsidRDefault="00E3626E" w:rsidP="00E3626E">
      <w:r>
        <w:tab/>
        <w:t>Jeżeli po wykonaniu badań na stwardniałej podbudowie lub ulepszonym podłożu stwierdzi się, że odchylenia cech geometrycznych przekraczają wielkości określone                                    w  p. 6.4, to warstwa zostanie zerwana na całą grubość i ponownie wykonana na koszt Wykonawcy. Dopuszcza się inny rodzaj naprawy wykonany na koszt Wykonawcy, o ile zostanie on zaakceptowany przez Inżyniera.</w:t>
      </w:r>
    </w:p>
    <w:p w:rsidR="00E3626E" w:rsidRDefault="00E3626E" w:rsidP="00E3626E">
      <w:r>
        <w:tab/>
        <w:t>Jeżeli szerokość podbudowy lub ulepszonego podłoża jest mniejsza od szerokości projektowanej o więcej niż 5 cm i nie zapewnia podparcia warstwom wyżej leżącym,                         to Wykonawca powinien poszerzyć podbudowę lub ulepszone podłoże przez zerwanie warstwy na pełną grubość do połowy szerokości pasa ruchu i wbudowanie nowej mieszanki.</w:t>
      </w:r>
    </w:p>
    <w:p w:rsidR="00E3626E" w:rsidRDefault="00E3626E" w:rsidP="00E3626E">
      <w:r>
        <w:tab/>
        <w:t>Nie dopuszcza się mieszania składników mieszanki na miejscu. Roboty te Wykonawca wykona na własny koszt.</w:t>
      </w:r>
    </w:p>
    <w:p w:rsidR="00C87186" w:rsidRDefault="00C87186" w:rsidP="00E3626E">
      <w:pPr>
        <w:spacing w:before="120"/>
        <w:rPr>
          <w:b/>
        </w:rPr>
      </w:pPr>
    </w:p>
    <w:p w:rsidR="00E3626E" w:rsidRDefault="00E3626E" w:rsidP="00E3626E">
      <w:pPr>
        <w:spacing w:before="120"/>
      </w:pPr>
      <w:r>
        <w:rPr>
          <w:b/>
        </w:rPr>
        <w:t xml:space="preserve">6.5.2. </w:t>
      </w:r>
      <w:r>
        <w:t>Niewłaściwa grubość podbudowy i ulepszonego podłoża</w:t>
      </w:r>
    </w:p>
    <w:p w:rsidR="00E3626E" w:rsidRDefault="00E3626E" w:rsidP="00E3626E">
      <w:pPr>
        <w:spacing w:before="120"/>
      </w:pPr>
      <w:r>
        <w:tab/>
        <w:t xml:space="preserve">Na wszystkich powierzchniach wadliwych pod względem grubości Wykonawca </w:t>
      </w:r>
      <w:r>
        <w:lastRenderedPageBreak/>
        <w:t>wykona naprawę podbudowy lub ulepszonego podłoża przez zerwanie wykonanej warstwy, usunięcie zerwanego materiału i ponowne wykonanie warstwy o odpowiednich właściwościach i  o wymaganej grubości. Roboty te Wykonawca wykona na własny koszt.  Po wykonaniu tych robót nastąpi ponowny pomiar i ocena grubości warstwy, na koszt Wykonawcy.</w:t>
      </w:r>
    </w:p>
    <w:p w:rsidR="00E3626E" w:rsidRDefault="00E3626E" w:rsidP="00E3626E">
      <w:pPr>
        <w:spacing w:before="120"/>
      </w:pPr>
      <w:r>
        <w:rPr>
          <w:b/>
        </w:rPr>
        <w:t xml:space="preserve">6.5.3. </w:t>
      </w:r>
      <w:r>
        <w:t>Niewłaściwa wytrzymałość podbudowy i ulepszonego podłoża</w:t>
      </w:r>
    </w:p>
    <w:p w:rsidR="00E3626E" w:rsidRDefault="00E3626E" w:rsidP="00E3626E">
      <w:pPr>
        <w:spacing w:before="120"/>
      </w:pPr>
      <w:r>
        <w:tab/>
        <w:t>Jeżeli wytrzymałość średnia próbek będzie mniejsza od dolnej granicy określonej                   w SST dla poszczególnych rodzajów podbudów i ulepszonego podłoża, to warstwa wadliwie wykonana zostanie zerwana i wymieniona na nową o odpowiednich właściwościach na koszt Wykonawcy.</w:t>
      </w:r>
    </w:p>
    <w:p w:rsidR="00E3626E" w:rsidRDefault="00E3626E" w:rsidP="00E3626E">
      <w:pPr>
        <w:pStyle w:val="Nagwek1"/>
      </w:pPr>
      <w:r>
        <w:t>7. OBMIAR ROBÓT</w:t>
      </w:r>
    </w:p>
    <w:p w:rsidR="00E3626E" w:rsidRDefault="00E3626E" w:rsidP="00E3626E">
      <w:pPr>
        <w:pStyle w:val="Nagwek2"/>
      </w:pPr>
      <w:r>
        <w:t>7.1. Ogólne zasady obmiaru robót</w:t>
      </w:r>
    </w:p>
    <w:p w:rsidR="00E3626E" w:rsidRDefault="00E3626E" w:rsidP="00E3626E">
      <w:pPr>
        <w:ind w:right="-11"/>
      </w:pPr>
      <w:r>
        <w:tab/>
        <w:t>Ogólne zasady obmiaru robót podano w OST D-M-00.00.00 „Wymagania ogólne”              pkt 7.</w:t>
      </w:r>
    </w:p>
    <w:p w:rsidR="00E3626E" w:rsidRDefault="00E3626E" w:rsidP="00E3626E">
      <w:pPr>
        <w:pStyle w:val="Nagwek2"/>
      </w:pPr>
      <w:r>
        <w:t>7.2. Jednostka obmiarowa</w:t>
      </w:r>
    </w:p>
    <w:p w:rsidR="00E3626E" w:rsidRDefault="00E3626E" w:rsidP="00E3626E">
      <w:pPr>
        <w:ind w:right="-11"/>
      </w:pPr>
      <w:r>
        <w:tab/>
        <w:t>Jednostką obmiarową jest  m</w:t>
      </w:r>
      <w:r>
        <w:rPr>
          <w:vertAlign w:val="superscript"/>
        </w:rPr>
        <w:t>2</w:t>
      </w:r>
      <w:r>
        <w:t xml:space="preserve"> (metr kwadratowy) podbudowy  i ulepszonego podłoża                z gruntów lub kruszyw stabilizowanych spoiwami hydraulicznymi.</w:t>
      </w:r>
    </w:p>
    <w:p w:rsidR="00E3626E" w:rsidRDefault="00E3626E" w:rsidP="00E3626E">
      <w:pPr>
        <w:pStyle w:val="Nagwek1"/>
      </w:pPr>
      <w:r>
        <w:t>8. ODBIÓR ROBÓT</w:t>
      </w:r>
    </w:p>
    <w:p w:rsidR="00E3626E" w:rsidRDefault="00E3626E" w:rsidP="00E3626E">
      <w:pPr>
        <w:ind w:right="-11"/>
      </w:pPr>
      <w:r>
        <w:tab/>
        <w:t xml:space="preserve">Ogólne zasady odbioru robót podano w OST D-M-00.00.00 „Wymagania ogólne” </w:t>
      </w:r>
    </w:p>
    <w:p w:rsidR="00E3626E" w:rsidRDefault="00E3626E" w:rsidP="00E3626E">
      <w:pPr>
        <w:ind w:right="-11"/>
      </w:pPr>
      <w:r>
        <w:t>pkt</w:t>
      </w:r>
      <w:r w:rsidR="00046950">
        <w:t>.</w:t>
      </w:r>
      <w:r>
        <w:t xml:space="preserve"> 8.</w:t>
      </w:r>
    </w:p>
    <w:p w:rsidR="00E3626E" w:rsidRDefault="00E3626E" w:rsidP="00E3626E">
      <w:pPr>
        <w:ind w:right="-11"/>
      </w:pPr>
      <w:r>
        <w:tab/>
        <w:t>Roboty uznaje się za zgodne z dokumentacją projektową, SST i wymaganiami Inżyniera, jeżeli wszystkie pomiary i badania z zachowaniem tolerancji wg pkt</w:t>
      </w:r>
      <w:r w:rsidR="00046950">
        <w:t>.</w:t>
      </w:r>
      <w:r>
        <w:t xml:space="preserve"> 6 dały wyniki pozytywne.</w:t>
      </w:r>
    </w:p>
    <w:p w:rsidR="00E3626E" w:rsidRDefault="00E3626E" w:rsidP="00E3626E">
      <w:pPr>
        <w:pStyle w:val="Nagwek1"/>
      </w:pPr>
      <w:r>
        <w:t>9. PODSTAWA PŁATNOŚCI</w:t>
      </w:r>
    </w:p>
    <w:p w:rsidR="00E3626E" w:rsidRDefault="00E3626E" w:rsidP="00E3626E">
      <w:pPr>
        <w:pStyle w:val="Nagwek2"/>
      </w:pPr>
      <w:r>
        <w:t>9.1. Ogólne ustalenia dotyczące podstawy płatności</w:t>
      </w:r>
    </w:p>
    <w:p w:rsidR="00E3626E" w:rsidRDefault="00E3626E" w:rsidP="00E3626E">
      <w:pPr>
        <w:ind w:right="-11"/>
      </w:pPr>
      <w:r>
        <w:rPr>
          <w:b/>
        </w:rPr>
        <w:tab/>
      </w:r>
      <w:r>
        <w:t>Ogólne ustalenia dotyczące podstawy płatności podano w OST D-M-00.00.00 „Wymagania ogólne” pkt</w:t>
      </w:r>
      <w:r w:rsidR="00046950">
        <w:t>.</w:t>
      </w:r>
      <w:r>
        <w:t xml:space="preserve"> 9.</w:t>
      </w:r>
    </w:p>
    <w:p w:rsidR="00E3626E" w:rsidRDefault="00E3626E" w:rsidP="00E3626E">
      <w:pPr>
        <w:pStyle w:val="Nagwek2"/>
      </w:pPr>
      <w:r>
        <w:t>9.2. Cena jednostki obmiarowej</w:t>
      </w:r>
    </w:p>
    <w:p w:rsidR="00E3626E" w:rsidRDefault="00E3626E" w:rsidP="00E3626E">
      <w:pPr>
        <w:ind w:right="-11"/>
      </w:pPr>
      <w:r>
        <w:tab/>
        <w:t>Cena wykonania 1 m</w:t>
      </w:r>
      <w:r>
        <w:rPr>
          <w:vertAlign w:val="superscript"/>
        </w:rPr>
        <w:t>2</w:t>
      </w:r>
      <w:r>
        <w:t xml:space="preserve"> podbudowy i ulepszonego podłoża z gruntów lub kruszyw stabilizowanych spoiwami hydraulicznymi obejmuje:</w:t>
      </w:r>
    </w:p>
    <w:p w:rsidR="00E3626E" w:rsidRDefault="00E3626E" w:rsidP="00E3626E">
      <w:pPr>
        <w:widowControl/>
        <w:numPr>
          <w:ilvl w:val="0"/>
          <w:numId w:val="6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w przypadku wytwarzania mieszanek kruszywowo-spoiwowych w mieszarkach: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prace pomiarowe i roboty przygotowawcze,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oznakowanie robót,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dostarczenie materiałów, wyprodukowanie mieszanki i jej transport na miejsce wbudowania,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dostarczenie, ustawienie, rozebranie i odwiezienie prowadnic oraz innych materiałów                     i urządzeń pomocniczych,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rozłożenie i zagęszczenie mieszanki,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pielęgnacja wykonanej warstwy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przeprowadzenie pomiarów i badań laboratoryjnych, wymaganych w specyfikacji technicznej,</w:t>
      </w:r>
    </w:p>
    <w:p w:rsidR="00E3626E" w:rsidRDefault="00E3626E" w:rsidP="00E3626E">
      <w:pPr>
        <w:widowControl/>
        <w:numPr>
          <w:ilvl w:val="0"/>
          <w:numId w:val="6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w przypadku wytwarzania mieszanek gruntowo-spoiwowych na miejscu: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prace pomiarowe i roboty przygotowawcze,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lastRenderedPageBreak/>
        <w:t>oznakowanie robót,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spulchnienie gruntu,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dostarczenie, ustawienie, rozebranie i odwiezienie prowadnic oraz innych materiałów               i urządzeń pomocniczych,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dostarczenie i rozścielenie składników zgodnie z receptą laboratoryjną,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wymieszanie gruntu rodzimego lub ulepszonego kruszywem ze spoiwem w korycie drogi,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zagęszczenie warstwy,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right="-11"/>
        <w:jc w:val="both"/>
        <w:textAlignment w:val="baseline"/>
      </w:pPr>
      <w:r>
        <w:t>pielęgnacja wykonanej warstwy</w:t>
      </w:r>
    </w:p>
    <w:p w:rsidR="00E3626E" w:rsidRDefault="00E3626E" w:rsidP="00E3626E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textAlignment w:val="baseline"/>
      </w:pPr>
      <w:r>
        <w:t>przeprowadzenie pomiarów i badań laboratoryjnych, wymaganych w specyfikacji technicznej,</w:t>
      </w:r>
    </w:p>
    <w:p w:rsidR="008C3028" w:rsidRDefault="008C3028"/>
    <w:sectPr w:rsidR="008C3028" w:rsidSect="00D56F79">
      <w:footerReference w:type="default" r:id="rId9"/>
      <w:pgSz w:w="11906" w:h="16838"/>
      <w:pgMar w:top="1417" w:right="1417" w:bottom="1417" w:left="1417" w:header="708" w:footer="708" w:gutter="0"/>
      <w:pgNumType w:start="1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A4F" w:rsidRDefault="00D25A4F" w:rsidP="00615520">
      <w:r>
        <w:separator/>
      </w:r>
    </w:p>
  </w:endnote>
  <w:endnote w:type="continuationSeparator" w:id="0">
    <w:p w:rsidR="00D25A4F" w:rsidRDefault="00D25A4F" w:rsidP="0061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3894213"/>
      <w:docPartObj>
        <w:docPartGallery w:val="Page Numbers (Bottom of Page)"/>
        <w:docPartUnique/>
      </w:docPartObj>
    </w:sdtPr>
    <w:sdtContent>
      <w:p w:rsidR="00D56F79" w:rsidRDefault="00D56F7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101</w:t>
        </w:r>
        <w:r>
          <w:fldChar w:fldCharType="end"/>
        </w:r>
      </w:p>
    </w:sdtContent>
  </w:sdt>
  <w:p w:rsidR="00615520" w:rsidRDefault="006155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A4F" w:rsidRDefault="00D25A4F" w:rsidP="00615520">
      <w:r>
        <w:separator/>
      </w:r>
    </w:p>
  </w:footnote>
  <w:footnote w:type="continuationSeparator" w:id="0">
    <w:p w:rsidR="00D25A4F" w:rsidRDefault="00D25A4F" w:rsidP="00615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32A485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1676294"/>
    <w:multiLevelType w:val="singleLevel"/>
    <w:tmpl w:val="C50E2B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47FC5219"/>
    <w:multiLevelType w:val="singleLevel"/>
    <w:tmpl w:val="C50E2B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62E421B6"/>
    <w:multiLevelType w:val="singleLevel"/>
    <w:tmpl w:val="174898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7AB54EE2"/>
    <w:multiLevelType w:val="singleLevel"/>
    <w:tmpl w:val="C50E2B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626E"/>
    <w:rsid w:val="00013C83"/>
    <w:rsid w:val="00046950"/>
    <w:rsid w:val="000C1F72"/>
    <w:rsid w:val="000F763D"/>
    <w:rsid w:val="001B6E1C"/>
    <w:rsid w:val="001F5491"/>
    <w:rsid w:val="002A7252"/>
    <w:rsid w:val="002C2C1E"/>
    <w:rsid w:val="00315341"/>
    <w:rsid w:val="00436226"/>
    <w:rsid w:val="00453D14"/>
    <w:rsid w:val="0046271A"/>
    <w:rsid w:val="004739FE"/>
    <w:rsid w:val="004A63E7"/>
    <w:rsid w:val="0055706C"/>
    <w:rsid w:val="00615520"/>
    <w:rsid w:val="00643377"/>
    <w:rsid w:val="00653631"/>
    <w:rsid w:val="00671531"/>
    <w:rsid w:val="00711CB4"/>
    <w:rsid w:val="00733DF3"/>
    <w:rsid w:val="00752D5B"/>
    <w:rsid w:val="007978FB"/>
    <w:rsid w:val="007D3390"/>
    <w:rsid w:val="00893745"/>
    <w:rsid w:val="008C3028"/>
    <w:rsid w:val="00905934"/>
    <w:rsid w:val="009672D6"/>
    <w:rsid w:val="00967488"/>
    <w:rsid w:val="00970704"/>
    <w:rsid w:val="00971279"/>
    <w:rsid w:val="00B62403"/>
    <w:rsid w:val="00BD4885"/>
    <w:rsid w:val="00BF0B14"/>
    <w:rsid w:val="00BF4A53"/>
    <w:rsid w:val="00C12085"/>
    <w:rsid w:val="00C87186"/>
    <w:rsid w:val="00D15533"/>
    <w:rsid w:val="00D25A4F"/>
    <w:rsid w:val="00D56F79"/>
    <w:rsid w:val="00DA5B8C"/>
    <w:rsid w:val="00DD7E27"/>
    <w:rsid w:val="00DE2367"/>
    <w:rsid w:val="00DF6FD7"/>
    <w:rsid w:val="00E27398"/>
    <w:rsid w:val="00E3626E"/>
    <w:rsid w:val="00EA0531"/>
    <w:rsid w:val="00F6713E"/>
    <w:rsid w:val="00FD0451"/>
    <w:rsid w:val="00FD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26E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3626E"/>
    <w:pPr>
      <w:keepNext/>
      <w:numPr>
        <w:numId w:val="1"/>
      </w:numPr>
      <w:spacing w:before="240" w:after="60"/>
      <w:ind w:left="1701" w:hanging="1701"/>
      <w:outlineLvl w:val="0"/>
    </w:pPr>
    <w:rPr>
      <w:b/>
      <w:bCs/>
      <w:caps/>
      <w:kern w:val="1"/>
    </w:rPr>
  </w:style>
  <w:style w:type="paragraph" w:styleId="Nagwek2">
    <w:name w:val="heading 2"/>
    <w:basedOn w:val="Normalny"/>
    <w:next w:val="Normalny"/>
    <w:link w:val="Nagwek2Znak"/>
    <w:qFormat/>
    <w:rsid w:val="00E3626E"/>
    <w:pPr>
      <w:keepNext/>
      <w:numPr>
        <w:ilvl w:val="1"/>
        <w:numId w:val="1"/>
      </w:numPr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626E"/>
    <w:rPr>
      <w:rFonts w:ascii="Times New Roman" w:eastAsia="Arial Unicode MS" w:hAnsi="Times New Roman" w:cs="Times New Roman"/>
      <w:b/>
      <w:bCs/>
      <w:caps/>
      <w:color w:val="000000"/>
      <w:kern w:val="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3626E"/>
    <w:rPr>
      <w:rFonts w:ascii="Times New Roman" w:eastAsia="Arial Unicode MS" w:hAnsi="Times New Roman" w:cs="Times New Roman"/>
      <w:b/>
      <w:color w:val="000000"/>
      <w:sz w:val="24"/>
      <w:szCs w:val="24"/>
    </w:rPr>
  </w:style>
  <w:style w:type="paragraph" w:customStyle="1" w:styleId="tekstost">
    <w:name w:val="tekst ost"/>
    <w:basedOn w:val="Normalny"/>
    <w:rsid w:val="00E3626E"/>
  </w:style>
  <w:style w:type="paragraph" w:styleId="Nagwek">
    <w:name w:val="header"/>
    <w:basedOn w:val="Normalny"/>
    <w:link w:val="NagwekZnak"/>
    <w:uiPriority w:val="99"/>
    <w:unhideWhenUsed/>
    <w:rsid w:val="006155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5520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155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520"/>
    <w:rPr>
      <w:rFonts w:ascii="Times New Roman" w:eastAsia="Arial Unicode MS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19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18E40-5EF1-4C79-B396-BE2626EDD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2802</Words>
  <Characters>16818</Characters>
  <Application>Microsoft Office Word</Application>
  <DocSecurity>0</DocSecurity>
  <Lines>140</Lines>
  <Paragraphs>39</Paragraphs>
  <ScaleCrop>false</ScaleCrop>
  <Company/>
  <LinksUpToDate>false</LinksUpToDate>
  <CharactersWithSpaces>19581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Jerzy Bakalarski</cp:lastModifiedBy>
  <cp:revision>22</cp:revision>
  <dcterms:created xsi:type="dcterms:W3CDTF">2012-03-06T11:53:00Z</dcterms:created>
  <dcterms:modified xsi:type="dcterms:W3CDTF">2019-08-26T15:15:00Z</dcterms:modified>
</cp:coreProperties>
</file>