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64" w:rsidRDefault="005B0A64" w:rsidP="00B74F1D">
      <w:pPr>
        <w:spacing w:after="0" w:line="240" w:lineRule="auto"/>
        <w:rPr>
          <w:rFonts w:ascii="Times New Roman" w:hAnsi="Times New Roman" w:cs="Times New Roman"/>
          <w:b/>
          <w:sz w:val="48"/>
          <w:szCs w:val="48"/>
          <w:lang w:eastAsia="pl-PL"/>
        </w:rPr>
      </w:pPr>
      <w:bookmarkStart w:id="0" w:name="_GoBack"/>
      <w:bookmarkEnd w:id="0"/>
      <w:r w:rsidRPr="00B74F1D">
        <w:rPr>
          <w:rFonts w:ascii="Times New Roman" w:hAnsi="Times New Roman" w:cs="Times New Roman"/>
          <w:b/>
          <w:sz w:val="48"/>
          <w:szCs w:val="48"/>
          <w:lang w:eastAsia="pl-PL"/>
        </w:rPr>
        <w:t>D - 02.03.01</w:t>
      </w:r>
    </w:p>
    <w:p w:rsidR="00B74F1D" w:rsidRPr="00B74F1D" w:rsidRDefault="00B74F1D" w:rsidP="00B74F1D">
      <w:pPr>
        <w:spacing w:after="0" w:line="240" w:lineRule="auto"/>
        <w:rPr>
          <w:sz w:val="20"/>
          <w:szCs w:val="20"/>
          <w:lang w:eastAsia="pl-PL"/>
        </w:rPr>
      </w:pPr>
    </w:p>
    <w:p w:rsidR="005B0A64" w:rsidRPr="00B74F1D" w:rsidRDefault="005B0A64" w:rsidP="00B74F1D">
      <w:pPr>
        <w:spacing w:after="0" w:line="240" w:lineRule="auto"/>
        <w:rPr>
          <w:rFonts w:ascii="Times New Roman" w:hAnsi="Times New Roman" w:cs="Times New Roman"/>
          <w:b/>
          <w:sz w:val="40"/>
          <w:szCs w:val="36"/>
          <w:lang w:eastAsia="pl-PL"/>
        </w:rPr>
      </w:pPr>
      <w:r w:rsidRPr="00B74F1D">
        <w:rPr>
          <w:rFonts w:ascii="Times New Roman" w:hAnsi="Times New Roman" w:cs="Times New Roman"/>
          <w:b/>
          <w:sz w:val="40"/>
          <w:szCs w:val="36"/>
          <w:lang w:eastAsia="pl-PL"/>
        </w:rPr>
        <w:t>WYKONANIE NASYPÓW </w:t>
      </w:r>
    </w:p>
    <w:p w:rsidR="005B0A64" w:rsidRPr="005B0A64" w:rsidRDefault="005B0A64" w:rsidP="00B74F1D">
      <w:pPr>
        <w:rPr>
          <w:lang w:eastAsia="pl-PL"/>
        </w:rPr>
      </w:pPr>
      <w:r w:rsidRPr="005B0A64">
        <w:rPr>
          <w:lang w:eastAsia="pl-PL"/>
        </w:rPr>
        <w:t> </w:t>
      </w:r>
    </w:p>
    <w:p w:rsidR="00B74F1D" w:rsidRDefault="00B74F1D" w:rsidP="00B74F1D">
      <w:pPr>
        <w:rPr>
          <w:kern w:val="36"/>
          <w:lang w:eastAsia="pl-PL"/>
        </w:rPr>
      </w:pPr>
      <w:bookmarkStart w:id="1" w:name="_Toc406295845"/>
      <w:bookmarkStart w:id="2" w:name="_Toc407161265"/>
      <w:bookmarkStart w:id="3" w:name="_Toc418994945"/>
      <w:bookmarkStart w:id="4" w:name="_Toc418996352"/>
      <w:bookmarkStart w:id="5" w:name="_Toc418996721"/>
      <w:bookmarkStart w:id="6" w:name="_Toc418997108"/>
      <w:bookmarkStart w:id="7" w:name="_Toc418998518"/>
      <w:bookmarkStart w:id="8" w:name="_Toc418998874"/>
      <w:bookmarkStart w:id="9" w:name="_Toc419000119"/>
      <w:bookmarkStart w:id="10" w:name="_1._WSTĘP_3"/>
      <w:bookmarkEnd w:id="1"/>
      <w:bookmarkEnd w:id="2"/>
      <w:bookmarkEnd w:id="3"/>
      <w:bookmarkEnd w:id="4"/>
      <w:bookmarkEnd w:id="5"/>
      <w:bookmarkEnd w:id="6"/>
      <w:bookmarkEnd w:id="7"/>
      <w:bookmarkEnd w:id="8"/>
      <w:bookmarkEnd w:id="9"/>
      <w:bookmarkEnd w:id="10"/>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r w:rsidRPr="00B74F1D">
        <w:rPr>
          <w:rFonts w:ascii="Times New Roman" w:eastAsia="Times New Roman" w:hAnsi="Times New Roman" w:cs="Times New Roman"/>
          <w:b/>
          <w:caps/>
          <w:kern w:val="28"/>
          <w:sz w:val="20"/>
          <w:szCs w:val="20"/>
          <w:lang w:eastAsia="pl-PL"/>
        </w:rPr>
        <w:t>1. WSTĘP</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 w:name="_Toc406295846"/>
      <w:bookmarkStart w:id="12" w:name="_Toc407161266"/>
      <w:r>
        <w:rPr>
          <w:rFonts w:ascii="Times New Roman" w:eastAsia="Times New Roman" w:hAnsi="Times New Roman" w:cs="Times New Roman"/>
          <w:b/>
          <w:sz w:val="20"/>
          <w:szCs w:val="20"/>
          <w:lang w:eastAsia="pl-PL"/>
        </w:rPr>
        <w:t>1.1. Przedmiot S</w:t>
      </w:r>
      <w:r w:rsidR="00B74F1D" w:rsidRPr="00B74F1D">
        <w:rPr>
          <w:rFonts w:ascii="Times New Roman" w:eastAsia="Times New Roman" w:hAnsi="Times New Roman" w:cs="Times New Roman"/>
          <w:b/>
          <w:sz w:val="20"/>
          <w:szCs w:val="20"/>
          <w:lang w:eastAsia="pl-PL"/>
        </w:rPr>
        <w:t>ST</w:t>
      </w:r>
      <w:bookmarkEnd w:id="11"/>
      <w:bookmarkEnd w:id="12"/>
    </w:p>
    <w:p w:rsidR="00B74F1D"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b/>
        <w:t>Przedmiotem niniejszej</w:t>
      </w:r>
      <w:r w:rsidR="00B74F1D" w:rsidRPr="00B74F1D">
        <w:rPr>
          <w:rFonts w:ascii="Times New Roman" w:eastAsia="Times New Roman" w:hAnsi="Times New Roman" w:cs="Times New Roman"/>
          <w:sz w:val="20"/>
          <w:szCs w:val="20"/>
          <w:lang w:eastAsia="pl-PL"/>
        </w:rPr>
        <w:t xml:space="preserve"> specyfikacji technicznej są wymagania dotyczące wykonania i odbioru nasypów.</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3" w:name="_Toc406295848"/>
      <w:bookmarkStart w:id="14" w:name="_Toc407161268"/>
      <w:r>
        <w:rPr>
          <w:rFonts w:ascii="Times New Roman" w:eastAsia="Times New Roman" w:hAnsi="Times New Roman" w:cs="Times New Roman"/>
          <w:b/>
          <w:sz w:val="20"/>
          <w:szCs w:val="20"/>
          <w:lang w:eastAsia="pl-PL"/>
        </w:rPr>
        <w:t>1.2. Zakres robót objętych S</w:t>
      </w:r>
      <w:r w:rsidR="00B74F1D" w:rsidRPr="00B74F1D">
        <w:rPr>
          <w:rFonts w:ascii="Times New Roman" w:eastAsia="Times New Roman" w:hAnsi="Times New Roman" w:cs="Times New Roman"/>
          <w:b/>
          <w:sz w:val="20"/>
          <w:szCs w:val="20"/>
          <w:lang w:eastAsia="pl-PL"/>
        </w:rPr>
        <w:t>ST</w:t>
      </w:r>
      <w:bookmarkEnd w:id="13"/>
      <w:bookmarkEnd w:id="1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Ustalenia zawarte w niniejszej specyfikacji dotyczą zasad prowadzenia robót ziemnych w czasie budowy lub modernizacji dróg i obejmują wykonanie nasypów. </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5" w:name="_Toc406295849"/>
      <w:bookmarkStart w:id="16" w:name="_Toc407161269"/>
      <w:r>
        <w:rPr>
          <w:rFonts w:ascii="Times New Roman" w:eastAsia="Times New Roman" w:hAnsi="Times New Roman" w:cs="Times New Roman"/>
          <w:b/>
          <w:sz w:val="20"/>
          <w:szCs w:val="20"/>
          <w:lang w:eastAsia="pl-PL"/>
        </w:rPr>
        <w:t>1.3</w:t>
      </w:r>
      <w:r w:rsidR="00B74F1D" w:rsidRPr="00B74F1D">
        <w:rPr>
          <w:rFonts w:ascii="Times New Roman" w:eastAsia="Times New Roman" w:hAnsi="Times New Roman" w:cs="Times New Roman"/>
          <w:b/>
          <w:sz w:val="20"/>
          <w:szCs w:val="20"/>
          <w:lang w:eastAsia="pl-PL"/>
        </w:rPr>
        <w:t>. Określenia podstawowe</w:t>
      </w:r>
      <w:bookmarkEnd w:id="15"/>
      <w:bookmarkEnd w:id="16"/>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Podstawowe określenia zostały podane w </w:t>
      </w:r>
      <w:r w:rsidR="00156017">
        <w:rPr>
          <w:rFonts w:ascii="Times New Roman" w:eastAsia="Times New Roman" w:hAnsi="Times New Roman" w:cs="Times New Roman"/>
          <w:sz w:val="20"/>
          <w:szCs w:val="20"/>
          <w:lang w:eastAsia="pl-PL"/>
        </w:rPr>
        <w:t>S</w:t>
      </w:r>
      <w:r w:rsidRPr="00B74F1D">
        <w:rPr>
          <w:rFonts w:ascii="Times New Roman" w:eastAsia="Times New Roman" w:hAnsi="Times New Roman" w:cs="Times New Roman"/>
          <w:sz w:val="20"/>
          <w:szCs w:val="20"/>
          <w:lang w:eastAsia="pl-PL"/>
        </w:rPr>
        <w:t>ST D-02.00.01 pkt 1.4.</w:t>
      </w:r>
    </w:p>
    <w:p w:rsidR="00B74F1D" w:rsidRPr="00B74F1D" w:rsidRDefault="00122327"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7" w:name="_Toc406295850"/>
      <w:bookmarkStart w:id="18" w:name="_Toc407161270"/>
      <w:r>
        <w:rPr>
          <w:rFonts w:ascii="Times New Roman" w:eastAsia="Times New Roman" w:hAnsi="Times New Roman" w:cs="Times New Roman"/>
          <w:b/>
          <w:sz w:val="20"/>
          <w:szCs w:val="20"/>
          <w:lang w:eastAsia="pl-PL"/>
        </w:rPr>
        <w:t>1.</w:t>
      </w:r>
      <w:r w:rsidR="00156017">
        <w:rPr>
          <w:rFonts w:ascii="Times New Roman" w:eastAsia="Times New Roman" w:hAnsi="Times New Roman" w:cs="Times New Roman"/>
          <w:b/>
          <w:sz w:val="20"/>
          <w:szCs w:val="20"/>
          <w:lang w:eastAsia="pl-PL"/>
        </w:rPr>
        <w:t>4</w:t>
      </w:r>
      <w:r w:rsidR="00B74F1D" w:rsidRPr="00B74F1D">
        <w:rPr>
          <w:rFonts w:ascii="Times New Roman" w:eastAsia="Times New Roman" w:hAnsi="Times New Roman" w:cs="Times New Roman"/>
          <w:b/>
          <w:sz w:val="20"/>
          <w:szCs w:val="20"/>
          <w:lang w:eastAsia="pl-PL"/>
        </w:rPr>
        <w:t>. Ogólne wymagania dotyczące robót</w:t>
      </w:r>
      <w:bookmarkEnd w:id="17"/>
      <w:bookmarkEnd w:id="18"/>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robót podano w OST D-02.00.01 pkt 1.5.</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9" w:name="_Toc406295851"/>
      <w:bookmarkStart w:id="20" w:name="_Toc407161271"/>
      <w:bookmarkStart w:id="21" w:name="_Toc418994946"/>
      <w:bookmarkStart w:id="22" w:name="_Toc418996353"/>
      <w:bookmarkStart w:id="23" w:name="_Toc418996722"/>
      <w:bookmarkStart w:id="24" w:name="_Toc418997109"/>
      <w:bookmarkStart w:id="25" w:name="_Toc418998519"/>
      <w:bookmarkStart w:id="26" w:name="_Toc418998875"/>
      <w:bookmarkStart w:id="27" w:name="_Toc419000120"/>
      <w:r w:rsidRPr="00B74F1D">
        <w:rPr>
          <w:rFonts w:ascii="Times New Roman" w:eastAsia="Times New Roman" w:hAnsi="Times New Roman" w:cs="Times New Roman"/>
          <w:b/>
          <w:caps/>
          <w:kern w:val="28"/>
          <w:sz w:val="20"/>
          <w:szCs w:val="20"/>
          <w:lang w:eastAsia="pl-PL"/>
        </w:rPr>
        <w:t>2. materiały (grunty)</w:t>
      </w:r>
      <w:bookmarkEnd w:id="19"/>
      <w:bookmarkEnd w:id="20"/>
      <w:bookmarkEnd w:id="21"/>
      <w:bookmarkEnd w:id="22"/>
      <w:bookmarkEnd w:id="23"/>
      <w:bookmarkEnd w:id="24"/>
      <w:bookmarkEnd w:id="25"/>
      <w:bookmarkEnd w:id="26"/>
      <w:bookmarkEnd w:id="27"/>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28" w:name="_Toc406295852"/>
      <w:bookmarkStart w:id="29" w:name="_Toc407161272"/>
      <w:r w:rsidRPr="00B74F1D">
        <w:rPr>
          <w:rFonts w:ascii="Times New Roman" w:eastAsia="Times New Roman" w:hAnsi="Times New Roman" w:cs="Times New Roman"/>
          <w:b/>
          <w:sz w:val="20"/>
          <w:szCs w:val="20"/>
          <w:lang w:eastAsia="pl-PL"/>
        </w:rPr>
        <w:t>2.1. Ogólne wymagania dotyczące materiałów</w:t>
      </w:r>
      <w:bookmarkEnd w:id="28"/>
      <w:bookmarkEnd w:id="29"/>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materiałów, ich pozyskiwania i składowania, podano w OST D-02.00.01 pkt 2.</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30" w:name="_Toc406295853"/>
      <w:bookmarkStart w:id="31" w:name="_Toc407161273"/>
      <w:r w:rsidRPr="00B74F1D">
        <w:rPr>
          <w:rFonts w:ascii="Times New Roman" w:eastAsia="Times New Roman" w:hAnsi="Times New Roman" w:cs="Times New Roman"/>
          <w:b/>
          <w:sz w:val="20"/>
          <w:szCs w:val="20"/>
          <w:lang w:eastAsia="pl-PL"/>
        </w:rPr>
        <w:t xml:space="preserve">2.2. </w:t>
      </w:r>
      <w:bookmarkEnd w:id="30"/>
      <w:bookmarkEnd w:id="31"/>
      <w:r w:rsidRPr="00B74F1D">
        <w:rPr>
          <w:rFonts w:ascii="Times New Roman" w:eastAsia="Times New Roman" w:hAnsi="Times New Roman" w:cs="Times New Roman"/>
          <w:b/>
          <w:sz w:val="20"/>
          <w:szCs w:val="20"/>
          <w:lang w:eastAsia="pl-PL"/>
        </w:rPr>
        <w:t>Grunty i materiały do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Grunty i materiały dopuszczone do budowy nasypów powinny spełniać wymagania określone w PN-S-02205 :1998 [4].</w:t>
      </w:r>
    </w:p>
    <w:p w:rsidR="00B74F1D" w:rsidRDefault="00B74F1D" w:rsidP="0012232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Grunty i materiały do </w:t>
      </w:r>
      <w:r w:rsidR="00122327">
        <w:rPr>
          <w:rFonts w:ascii="Times New Roman" w:eastAsia="Times New Roman" w:hAnsi="Times New Roman" w:cs="Times New Roman"/>
          <w:sz w:val="20"/>
          <w:szCs w:val="20"/>
          <w:lang w:eastAsia="pl-PL"/>
        </w:rPr>
        <w:t>budowy nasypów podaje tablica 1</w:t>
      </w:r>
    </w:p>
    <w:p w:rsid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122327"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1. Przydatność gruntów do wykonywania budowli ziemnych wg PN-S-02205 :1998 [4].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941"/>
        <w:gridCol w:w="2252"/>
        <w:gridCol w:w="2252"/>
      </w:tblGrid>
      <w:tr w:rsidR="00B74F1D" w:rsidRPr="00B74F1D" w:rsidTr="0061552B">
        <w:tc>
          <w:tcPr>
            <w:tcW w:w="106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Przeznaczenie</w:t>
            </w:r>
          </w:p>
        </w:tc>
        <w:tc>
          <w:tcPr>
            <w:tcW w:w="194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Przydatne</w:t>
            </w:r>
          </w:p>
        </w:tc>
        <w:tc>
          <w:tcPr>
            <w:tcW w:w="2252"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Przydatne</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 zastrzeżeniami</w:t>
            </w:r>
          </w:p>
        </w:tc>
        <w:tc>
          <w:tcPr>
            <w:tcW w:w="2252" w:type="dxa"/>
            <w:tcBorders>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Treść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zastrzeżenia</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Na dolne warstwy nasypów poniżej strefy przemarzania</w:t>
            </w:r>
          </w:p>
        </w:tc>
        <w:tc>
          <w:tcPr>
            <w:tcW w:w="1941"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Rozdrobnione grunty skaliste twarde oraz grunty kamieniste, zwietrzelinowe, rumosze i otoczaki</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Żwiry i pospółki, również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Piaski grubo, średnio i drobnoziarniste, naturalne i łamane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4. Piaski gliniaste z domieszką frakcji żwirowo-kamienistej (morenowe) o wskaźniku </w:t>
            </w:r>
            <w:proofErr w:type="spellStart"/>
            <w:r w:rsidRPr="00B74F1D">
              <w:rPr>
                <w:rFonts w:ascii="Times New Roman" w:eastAsia="Times New Roman" w:hAnsi="Times New Roman" w:cs="Times New Roman"/>
                <w:sz w:val="16"/>
                <w:szCs w:val="20"/>
                <w:lang w:eastAsia="pl-PL"/>
              </w:rPr>
              <w:t>różnoziarnis-tości</w:t>
            </w:r>
            <w:proofErr w:type="spellEnd"/>
            <w:r w:rsidRPr="00B74F1D">
              <w:rPr>
                <w:rFonts w:ascii="Times New Roman" w:eastAsia="Times New Roman" w:hAnsi="Times New Roman" w:cs="Times New Roman"/>
                <w:sz w:val="16"/>
                <w:szCs w:val="20"/>
                <w:lang w:eastAsia="pl-PL"/>
              </w:rPr>
              <w:t xml:space="preserve"> U</w:t>
            </w:r>
            <w:r w:rsidRPr="00B74F1D">
              <w:rPr>
                <w:rFonts w:ascii="Times New Roman" w:eastAsia="Times New Roman" w:hAnsi="Times New Roman" w:cs="Times New Roman"/>
                <w:sz w:val="16"/>
                <w:szCs w:val="20"/>
                <w:lang w:eastAsia="pl-PL"/>
              </w:rPr>
              <w:sym w:font="Symbol" w:char="F0B3"/>
            </w:r>
            <w:r w:rsidRPr="00B74F1D">
              <w:rPr>
                <w:rFonts w:ascii="Times New Roman" w:eastAsia="Times New Roman" w:hAnsi="Times New Roman" w:cs="Times New Roman"/>
                <w:sz w:val="16"/>
                <w:szCs w:val="20"/>
                <w:lang w:eastAsia="pl-PL"/>
              </w:rPr>
              <w:t>15</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 Żużle wielkopiecowe i inne metalurgiczne ze starych zwałów (powyżej 5 lat)</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Łupki przywęgłowe przepalone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Wysiewki kamienne o zawartości frakcji iłowej poniżej 2%</w:t>
            </w:r>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Rozdrobnione grunty skaliste miękkie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Zwietrzeliny i rumosze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Piaski pylaste, piaski gliniaste, pyły piaszczyste i pyły</w:t>
            </w: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Piaski próchniczne, z wyjątkiem pylastych piasków próchnicznych</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5. Gliny piaszczyste, gliny i gliny pylaste oraz inne o </w:t>
            </w:r>
            <w:proofErr w:type="spellStart"/>
            <w:r w:rsidRPr="00B74F1D">
              <w:rPr>
                <w:rFonts w:ascii="Times New Roman" w:eastAsia="Times New Roman" w:hAnsi="Times New Roman" w:cs="Times New Roman"/>
                <w:sz w:val="16"/>
                <w:szCs w:val="20"/>
                <w:lang w:eastAsia="pl-PL"/>
              </w:rPr>
              <w:t>w</w:t>
            </w:r>
            <w:r w:rsidRPr="00B74F1D">
              <w:rPr>
                <w:rFonts w:ascii="Times New Roman" w:eastAsia="Times New Roman" w:hAnsi="Times New Roman" w:cs="Times New Roman"/>
                <w:sz w:val="16"/>
                <w:szCs w:val="20"/>
                <w:vertAlign w:val="subscript"/>
                <w:lang w:eastAsia="pl-PL"/>
              </w:rPr>
              <w:t>L</w:t>
            </w:r>
            <w:proofErr w:type="spellEnd"/>
            <w:r w:rsidRPr="00B74F1D">
              <w:rPr>
                <w:rFonts w:ascii="Times New Roman" w:eastAsia="Times New Roman" w:hAnsi="Times New Roman" w:cs="Times New Roman"/>
                <w:sz w:val="16"/>
                <w:szCs w:val="20"/>
                <w:lang w:eastAsia="pl-PL"/>
              </w:rPr>
              <w:t xml:space="preserve">       </w:t>
            </w:r>
            <w:r w:rsidRPr="00B74F1D">
              <w:rPr>
                <w:rFonts w:ascii="Times New Roman" w:eastAsia="Times New Roman" w:hAnsi="Times New Roman" w:cs="Times New Roman"/>
                <w:sz w:val="16"/>
                <w:szCs w:val="20"/>
                <w:lang w:eastAsia="pl-PL"/>
              </w:rPr>
              <w:sym w:font="Symbol" w:char="F03C"/>
            </w:r>
            <w:r w:rsidRPr="00B74F1D">
              <w:rPr>
                <w:rFonts w:ascii="Times New Roman" w:eastAsia="Times New Roman" w:hAnsi="Times New Roman" w:cs="Times New Roman"/>
                <w:sz w:val="16"/>
                <w:szCs w:val="20"/>
                <w:lang w:eastAsia="pl-PL"/>
              </w:rPr>
              <w:t xml:space="preserve"> 35%</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6. Gliny piaszczyste zwięzłe, gliny zwięzłe i gliny pylaste zwięzłe oraz inne grunty o granicy płynności </w:t>
            </w:r>
            <w:proofErr w:type="spellStart"/>
            <w:r w:rsidRPr="00B74F1D">
              <w:rPr>
                <w:rFonts w:ascii="Times New Roman" w:eastAsia="Times New Roman" w:hAnsi="Times New Roman" w:cs="Times New Roman"/>
                <w:sz w:val="16"/>
                <w:szCs w:val="20"/>
                <w:lang w:eastAsia="pl-PL"/>
              </w:rPr>
              <w:t>w</w:t>
            </w:r>
            <w:r w:rsidRPr="00B74F1D">
              <w:rPr>
                <w:rFonts w:ascii="Times New Roman" w:eastAsia="Times New Roman" w:hAnsi="Times New Roman" w:cs="Times New Roman"/>
                <w:sz w:val="16"/>
                <w:szCs w:val="20"/>
                <w:vertAlign w:val="subscript"/>
                <w:lang w:eastAsia="pl-PL"/>
              </w:rPr>
              <w:t>L</w:t>
            </w:r>
            <w:proofErr w:type="spellEnd"/>
            <w:r w:rsidRPr="00B74F1D">
              <w:rPr>
                <w:rFonts w:ascii="Times New Roman" w:eastAsia="Times New Roman" w:hAnsi="Times New Roman" w:cs="Times New Roman"/>
                <w:sz w:val="16"/>
                <w:szCs w:val="20"/>
                <w:lang w:eastAsia="pl-PL"/>
              </w:rPr>
              <w:t xml:space="preserve"> od 35 do 60%</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Wysiewki kamienne gliniaste o zawartości frakcji iłowej ponad 2%</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Żużle wielkopiecowe i inne metalurgiczne z nowego studzenia (do 5 lat)</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9. Iłołupki przywęglowe nieprzepalone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Popioły lotne i mieszaniny popiołowo-żużlowe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tc>
        <w:tc>
          <w:tcPr>
            <w:tcW w:w="2252" w:type="dxa"/>
            <w:tcBorders>
              <w:bottom w:val="single" w:sz="6" w:space="0" w:color="auto"/>
            </w:tcBorders>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pory w gruncie skalistym będą wypełnione gruntem lub materiałem drobnoziarnistym</w:t>
            </w: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będą wbudowane w miejsca suche lub zabezpieczone od wód gruntowych i powierzchniowych</w:t>
            </w:r>
          </w:p>
          <w:p w:rsidR="00B74F1D" w:rsidRPr="00B74F1D" w:rsidRDefault="00B74F1D" w:rsidP="00B74F1D">
            <w:pPr>
              <w:pBdr>
                <w:top w:val="single" w:sz="6" w:space="1" w:color="auto"/>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do nasypów nie wyższych niż 3 m, zabezpieczonych przed zawilgoceniem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w miejscach suchych lub przejściowo zawilgoconych</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do nasypów nie wyższych niż 3 m: zabezpieczonych przed zawilgoceniem lub po ulepszeniu spoiwami</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zwierciadło wody gruntowej znajduje się na głębokości większej od kapilarności biernej gruntu podłoża</w:t>
            </w:r>
          </w:p>
          <w:p w:rsidR="00B74F1D" w:rsidRPr="00B74F1D" w:rsidRDefault="00B74F1D" w:rsidP="00B74F1D">
            <w:pPr>
              <w:pBdr>
                <w:top w:val="single" w:sz="6" w:space="1" w:color="auto"/>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o ograniczonej podatności na rozpad - łączne straty masy do 5%</w:t>
            </w:r>
          </w:p>
          <w:p w:rsidR="00B74F1D" w:rsidRPr="00B74F1D" w:rsidRDefault="00B74F1D" w:rsidP="00B74F1D">
            <w:pPr>
              <w:pBdr>
                <w:bottom w:val="single" w:sz="6" w:space="1" w:color="auto"/>
                <w:between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wolne przestrzenie zostaną wypełnione materiałem drobnoziarnistym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zalegają w miejscach suchych lub są izolowane od wody</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Na górne warstwy na-</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sypów w </w:t>
            </w:r>
            <w:proofErr w:type="spellStart"/>
            <w:r w:rsidRPr="00B74F1D">
              <w:rPr>
                <w:rFonts w:ascii="Times New Roman" w:eastAsia="Times New Roman" w:hAnsi="Times New Roman" w:cs="Times New Roman"/>
                <w:sz w:val="16"/>
                <w:szCs w:val="20"/>
                <w:lang w:eastAsia="pl-PL"/>
              </w:rPr>
              <w:t>stre</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fie</w:t>
            </w:r>
            <w:proofErr w:type="spellEnd"/>
            <w:r w:rsidRPr="00B74F1D">
              <w:rPr>
                <w:rFonts w:ascii="Times New Roman" w:eastAsia="Times New Roman" w:hAnsi="Times New Roman" w:cs="Times New Roman"/>
                <w:sz w:val="16"/>
                <w:szCs w:val="20"/>
                <w:lang w:eastAsia="pl-PL"/>
              </w:rPr>
              <w:t xml:space="preserve"> </w:t>
            </w:r>
            <w:proofErr w:type="spellStart"/>
            <w:r w:rsidRPr="00B74F1D">
              <w:rPr>
                <w:rFonts w:ascii="Times New Roman" w:eastAsia="Times New Roman" w:hAnsi="Times New Roman" w:cs="Times New Roman"/>
                <w:sz w:val="16"/>
                <w:szCs w:val="20"/>
                <w:lang w:eastAsia="pl-PL"/>
              </w:rPr>
              <w:t>przemar</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zania</w:t>
            </w:r>
            <w:proofErr w:type="spellEnd"/>
          </w:p>
        </w:tc>
        <w:tc>
          <w:tcPr>
            <w:tcW w:w="1941"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Żwiry i pospółki</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Piaski grubo i średnio-</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ziarniste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3. Iłołupki przywęglowe przepalone zawierające mniej niż 15% </w:t>
            </w:r>
            <w:proofErr w:type="spellStart"/>
            <w:r w:rsidRPr="00B74F1D">
              <w:rPr>
                <w:rFonts w:ascii="Times New Roman" w:eastAsia="Times New Roman" w:hAnsi="Times New Roman" w:cs="Times New Roman"/>
                <w:sz w:val="16"/>
                <w:szCs w:val="20"/>
                <w:lang w:eastAsia="pl-PL"/>
              </w:rPr>
              <w:t>ziarn</w:t>
            </w:r>
            <w:proofErr w:type="spellEnd"/>
            <w:r w:rsidRPr="00B74F1D">
              <w:rPr>
                <w:rFonts w:ascii="Times New Roman" w:eastAsia="Times New Roman" w:hAnsi="Times New Roman" w:cs="Times New Roman"/>
                <w:sz w:val="16"/>
                <w:szCs w:val="20"/>
                <w:lang w:eastAsia="pl-PL"/>
              </w:rPr>
              <w:t xml:space="preserve"> mniej-</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szych od 0,075 mm</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Wysiewki kamienne o uziarnieniu odpowiadają-</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cym pospółkom lub żwirom</w:t>
            </w:r>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 Żwiry i pospółki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Piaski pylaste i gliniaste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Pyły piaszczyste i pyły</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Gliny o granicy płynności mniejszej niż 35%</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 Mieszaniny popiołowo-żużlowe z węgla kamiennego</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6. Wysiewki kamienne gliniaste o zawartości frakcji iłowej </w:t>
            </w:r>
            <w:r w:rsidRPr="00B74F1D">
              <w:rPr>
                <w:rFonts w:ascii="Times New Roman" w:eastAsia="Times New Roman" w:hAnsi="Times New Roman" w:cs="Times New Roman"/>
                <w:sz w:val="16"/>
                <w:szCs w:val="20"/>
                <w:lang w:eastAsia="pl-PL"/>
              </w:rPr>
              <w:sym w:font="Symbol" w:char="F03E"/>
            </w:r>
            <w:r w:rsidRPr="00B74F1D">
              <w:rPr>
                <w:rFonts w:ascii="Times New Roman" w:eastAsia="Times New Roman" w:hAnsi="Times New Roman" w:cs="Times New Roman"/>
                <w:sz w:val="16"/>
                <w:szCs w:val="20"/>
                <w:lang w:eastAsia="pl-PL"/>
              </w:rPr>
              <w:t>2%</w:t>
            </w:r>
          </w:p>
          <w:p w:rsidR="00B74F1D" w:rsidRPr="00B74F1D" w:rsidRDefault="00B74F1D" w:rsidP="00B74F1D">
            <w:pPr>
              <w:pBdr>
                <w:top w:val="single" w:sz="6" w:space="1" w:color="auto"/>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7. Żużle wielkopiecowe i inne metalurgiczne</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Piaski drobnoziarniste</w:t>
            </w:r>
          </w:p>
        </w:tc>
        <w:tc>
          <w:tcPr>
            <w:tcW w:w="2252" w:type="dxa"/>
            <w:tcBorders>
              <w:top w:val="nil"/>
            </w:tcBorders>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pod warunkiem ulepszenia tych gruntów spoiwami, takimi jak: cement, wapno, aktywne popioły itp.</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pBdr>
                <w:top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 drobnoziarniste i  </w:t>
            </w:r>
            <w:proofErr w:type="spellStart"/>
            <w:r w:rsidRPr="00B74F1D">
              <w:rPr>
                <w:rFonts w:ascii="Times New Roman" w:eastAsia="Times New Roman" w:hAnsi="Times New Roman" w:cs="Times New Roman"/>
                <w:sz w:val="16"/>
                <w:szCs w:val="20"/>
                <w:lang w:eastAsia="pl-PL"/>
              </w:rPr>
              <w:t>nierozpado</w:t>
            </w:r>
            <w:proofErr w:type="spellEnd"/>
            <w:r w:rsidRPr="00B74F1D">
              <w:rPr>
                <w:rFonts w:ascii="Times New Roman" w:eastAsia="Times New Roman" w:hAnsi="Times New Roman" w:cs="Times New Roman"/>
                <w:sz w:val="16"/>
                <w:szCs w:val="20"/>
                <w:lang w:eastAsia="pl-PL"/>
              </w:rPr>
              <w:t>-</w:t>
            </w:r>
          </w:p>
          <w:p w:rsidR="00B74F1D" w:rsidRPr="00B74F1D" w:rsidRDefault="00B74F1D" w:rsidP="00B74F1D">
            <w:pPr>
              <w:pBdr>
                <w:bottom w:val="single" w:sz="6" w:space="1" w:color="auto"/>
              </w:pBd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we: straty masy do 1%</w:t>
            </w: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o wskaźniku nośności w</w:t>
            </w:r>
            <w:r w:rsidRPr="00B74F1D">
              <w:rPr>
                <w:rFonts w:ascii="Times New Roman" w:eastAsia="Times New Roman" w:hAnsi="Times New Roman" w:cs="Times New Roman"/>
                <w:sz w:val="16"/>
                <w:szCs w:val="20"/>
                <w:vertAlign w:val="subscript"/>
                <w:lang w:eastAsia="pl-PL"/>
              </w:rPr>
              <w:t>noś</w:t>
            </w:r>
            <w:r w:rsidRPr="00B74F1D">
              <w:rPr>
                <w:rFonts w:ascii="Times New Roman" w:eastAsia="Times New Roman" w:hAnsi="Times New Roman" w:cs="Times New Roman"/>
                <w:sz w:val="16"/>
                <w:szCs w:val="20"/>
                <w:lang w:eastAsia="pl-PL"/>
              </w:rPr>
              <w:sym w:font="Symbol" w:char="F0B3"/>
            </w:r>
            <w:r w:rsidRPr="00B74F1D">
              <w:rPr>
                <w:rFonts w:ascii="Times New Roman" w:eastAsia="Times New Roman" w:hAnsi="Times New Roman" w:cs="Times New Roman"/>
                <w:sz w:val="16"/>
                <w:szCs w:val="20"/>
                <w:lang w:eastAsia="pl-PL"/>
              </w:rPr>
              <w:t>10</w:t>
            </w:r>
          </w:p>
        </w:tc>
      </w:tr>
      <w:tr w:rsidR="00B74F1D" w:rsidRPr="00B74F1D" w:rsidTr="0061552B">
        <w:tc>
          <w:tcPr>
            <w:tcW w:w="1063"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 wykopach i miejscach zerowych do głębokości przemarzania</w:t>
            </w:r>
          </w:p>
        </w:tc>
        <w:tc>
          <w:tcPr>
            <w:tcW w:w="1941" w:type="dxa"/>
          </w:tcPr>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jc w:val="both"/>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Grunty </w:t>
            </w:r>
            <w:proofErr w:type="spellStart"/>
            <w:r w:rsidRPr="00B74F1D">
              <w:rPr>
                <w:rFonts w:ascii="Times New Roman" w:eastAsia="Times New Roman" w:hAnsi="Times New Roman" w:cs="Times New Roman"/>
                <w:sz w:val="16"/>
                <w:szCs w:val="20"/>
                <w:lang w:eastAsia="pl-PL"/>
              </w:rPr>
              <w:t>niewysadzinowe</w:t>
            </w:r>
            <w:proofErr w:type="spellEnd"/>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Grunty wątpliwe i </w:t>
            </w:r>
            <w:proofErr w:type="spellStart"/>
            <w:r w:rsidRPr="00B74F1D">
              <w:rPr>
                <w:rFonts w:ascii="Times New Roman" w:eastAsia="Times New Roman" w:hAnsi="Times New Roman" w:cs="Times New Roman"/>
                <w:sz w:val="16"/>
                <w:szCs w:val="20"/>
                <w:lang w:eastAsia="pl-PL"/>
              </w:rPr>
              <w:t>wysadzinowe</w:t>
            </w:r>
            <w:proofErr w:type="spellEnd"/>
          </w:p>
        </w:tc>
        <w:tc>
          <w:tcPr>
            <w:tcW w:w="2252" w:type="dxa"/>
          </w:tcPr>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180" w:lineRule="exact"/>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gdy są ulepszane spoiwami (cementem, wapnem, aktywnymi popiołami itp.)</w:t>
            </w:r>
          </w:p>
        </w:tc>
      </w:tr>
    </w:tbl>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2" w:name="_Toc406295857"/>
      <w:bookmarkStart w:id="33" w:name="_Toc407161277"/>
      <w:bookmarkStart w:id="34" w:name="_Toc418994947"/>
      <w:bookmarkStart w:id="35" w:name="_Toc418996354"/>
      <w:bookmarkStart w:id="36" w:name="_Toc418996723"/>
      <w:bookmarkStart w:id="37" w:name="_Toc418997110"/>
      <w:bookmarkStart w:id="38" w:name="_Toc418998520"/>
      <w:bookmarkStart w:id="39" w:name="_Toc418998876"/>
      <w:bookmarkStart w:id="40" w:name="_Toc419000121"/>
      <w:r w:rsidRPr="00B74F1D">
        <w:rPr>
          <w:rFonts w:ascii="Times New Roman" w:eastAsia="Times New Roman" w:hAnsi="Times New Roman" w:cs="Times New Roman"/>
          <w:b/>
          <w:caps/>
          <w:kern w:val="28"/>
          <w:sz w:val="20"/>
          <w:szCs w:val="20"/>
          <w:lang w:eastAsia="pl-PL"/>
        </w:rPr>
        <w:t>3. sprzęt</w:t>
      </w:r>
      <w:bookmarkEnd w:id="32"/>
      <w:bookmarkEnd w:id="33"/>
      <w:bookmarkEnd w:id="34"/>
      <w:bookmarkEnd w:id="35"/>
      <w:bookmarkEnd w:id="36"/>
      <w:bookmarkEnd w:id="37"/>
      <w:bookmarkEnd w:id="38"/>
      <w:bookmarkEnd w:id="39"/>
      <w:bookmarkEnd w:id="40"/>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1" w:name="_Toc406295858"/>
      <w:bookmarkStart w:id="42" w:name="_Toc407161278"/>
      <w:r w:rsidRPr="00B74F1D">
        <w:rPr>
          <w:rFonts w:ascii="Times New Roman" w:eastAsia="Times New Roman" w:hAnsi="Times New Roman" w:cs="Times New Roman"/>
          <w:b/>
          <w:sz w:val="20"/>
          <w:szCs w:val="20"/>
          <w:lang w:eastAsia="pl-PL"/>
        </w:rPr>
        <w:t>3.1. Ogólne wymagania dotyczące sprzętu</w:t>
      </w:r>
      <w:bookmarkEnd w:id="41"/>
      <w:bookmarkEnd w:id="42"/>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i ustalenia dotyczące sprzętu określono w OST D-02.00.01           pkt 3.</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3" w:name="_Toc406295859"/>
      <w:bookmarkStart w:id="44" w:name="_Toc407161279"/>
      <w:r w:rsidRPr="00B74F1D">
        <w:rPr>
          <w:rFonts w:ascii="Times New Roman" w:eastAsia="Times New Roman" w:hAnsi="Times New Roman" w:cs="Times New Roman"/>
          <w:b/>
          <w:sz w:val="20"/>
          <w:szCs w:val="20"/>
          <w:lang w:eastAsia="pl-PL"/>
        </w:rPr>
        <w:t>3.2. Dobór sprzętu zagęszczającego</w:t>
      </w:r>
      <w:bookmarkEnd w:id="43"/>
      <w:bookmarkEnd w:id="4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tablicy 2 podano, dla różnych rodzajów gruntów, orientacyjne dane przy doborze sprzętu zagęszczającego. Sprzęt do zagęszczania powinien być zatwierdzony przez Inżyniera.</w:t>
      </w: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71"/>
        <w:gridCol w:w="993"/>
        <w:gridCol w:w="708"/>
        <w:gridCol w:w="851"/>
        <w:gridCol w:w="850"/>
        <w:gridCol w:w="851"/>
        <w:gridCol w:w="850"/>
        <w:gridCol w:w="709"/>
      </w:tblGrid>
      <w:tr w:rsidR="00B74F1D" w:rsidRPr="00B74F1D" w:rsidTr="0061552B">
        <w:trPr>
          <w:cantSplit/>
          <w:trHeight w:val="283"/>
        </w:trPr>
        <w:tc>
          <w:tcPr>
            <w:tcW w:w="1771" w:type="dxa"/>
            <w:tcBorders>
              <w:bottom w:val="nil"/>
            </w:tcBorders>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bookmarkStart w:id="45" w:name="_Toc406295860"/>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c>
          <w:tcPr>
            <w:tcW w:w="5103" w:type="dxa"/>
            <w:gridSpan w:val="6"/>
            <w:tcBorders>
              <w:bottom w:val="single" w:sz="6" w:space="0" w:color="auto"/>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Rodzaje gruntu</w:t>
            </w:r>
          </w:p>
        </w:tc>
        <w:tc>
          <w:tcPr>
            <w:tcW w:w="709" w:type="dxa"/>
            <w:tcBorders>
              <w:top w:val="single" w:sz="6" w:space="0" w:color="auto"/>
              <w:left w:val="single" w:sz="6" w:space="0" w:color="auto"/>
              <w:bottom w:val="nil"/>
              <w:right w:val="single" w:sz="6" w:space="0" w:color="auto"/>
            </w:tcBorders>
          </w:tcPr>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20"/>
                <w:lang w:eastAsia="pl-PL"/>
              </w:rPr>
            </w:pPr>
          </w:p>
        </w:tc>
      </w:tr>
      <w:tr w:rsidR="00B74F1D" w:rsidRPr="00B74F1D" w:rsidTr="0061552B">
        <w:trPr>
          <w:cantSplit/>
          <w:trHeight w:val="180"/>
        </w:trPr>
        <w:tc>
          <w:tcPr>
            <w:tcW w:w="1771" w:type="dxa"/>
            <w:tcBorders>
              <w:top w:val="nil"/>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Rodzaje</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urządzeń</w:t>
            </w:r>
          </w:p>
        </w:tc>
        <w:tc>
          <w:tcPr>
            <w:tcW w:w="1701" w:type="dxa"/>
            <w:gridSpan w:val="2"/>
            <w:tcBorders>
              <w:top w:val="single" w:sz="6" w:space="0" w:color="auto"/>
              <w:bottom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niespoiste: piaski, żwiry, pospółki</w:t>
            </w:r>
          </w:p>
        </w:tc>
        <w:tc>
          <w:tcPr>
            <w:tcW w:w="1701" w:type="dxa"/>
            <w:gridSpan w:val="2"/>
            <w:tcBorders>
              <w:top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spoiste: pyły gliny, iły</w:t>
            </w:r>
          </w:p>
        </w:tc>
        <w:tc>
          <w:tcPr>
            <w:tcW w:w="1701" w:type="dxa"/>
            <w:gridSpan w:val="2"/>
            <w:tcBorders>
              <w:top w:val="single" w:sz="6" w:space="0" w:color="auto"/>
              <w:bottom w:val="single" w:sz="6" w:space="0" w:color="auto"/>
              <w:right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gruboziarniste </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i kamieniste</w:t>
            </w:r>
          </w:p>
        </w:tc>
        <w:tc>
          <w:tcPr>
            <w:tcW w:w="709" w:type="dxa"/>
            <w:tcBorders>
              <w:top w:val="nil"/>
              <w:left w:val="single" w:sz="6" w:space="0" w:color="auto"/>
              <w:bottom w:val="nil"/>
              <w:right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Uwagi o </w:t>
            </w:r>
            <w:proofErr w:type="spellStart"/>
            <w:r w:rsidRPr="00B74F1D">
              <w:rPr>
                <w:rFonts w:ascii="Times New Roman" w:eastAsia="Times New Roman" w:hAnsi="Times New Roman" w:cs="Times New Roman"/>
                <w:sz w:val="16"/>
                <w:szCs w:val="20"/>
                <w:lang w:eastAsia="pl-PL"/>
              </w:rPr>
              <w:t>przydat</w:t>
            </w:r>
            <w:proofErr w:type="spellEnd"/>
            <w:r w:rsidRPr="00B74F1D">
              <w:rPr>
                <w:rFonts w:ascii="Times New Roman" w:eastAsia="Times New Roman" w:hAnsi="Times New Roman" w:cs="Times New Roman"/>
                <w:sz w:val="16"/>
                <w:szCs w:val="20"/>
                <w:lang w:eastAsia="pl-PL"/>
              </w:rPr>
              <w:t>-</w:t>
            </w:r>
          </w:p>
        </w:tc>
      </w:tr>
      <w:tr w:rsidR="00B74F1D" w:rsidRPr="00B74F1D" w:rsidTr="0061552B">
        <w:trPr>
          <w:cantSplit/>
        </w:trPr>
        <w:tc>
          <w:tcPr>
            <w:tcW w:w="1771" w:type="dxa"/>
            <w:tcBorders>
              <w:top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zagęszczających</w:t>
            </w:r>
          </w:p>
        </w:tc>
        <w:tc>
          <w:tcPr>
            <w:tcW w:w="993" w:type="dxa"/>
            <w:tcBorders>
              <w:top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708" w:type="dxa"/>
            <w:tcBorders>
              <w:top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n ***</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n ***</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grubość warstwy</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m ]</w:t>
            </w:r>
          </w:p>
        </w:tc>
        <w:tc>
          <w:tcPr>
            <w:tcW w:w="850" w:type="dxa"/>
            <w:tcBorders>
              <w:right w:val="nil"/>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liczba przejść</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n ***</w:t>
            </w:r>
          </w:p>
        </w:tc>
        <w:tc>
          <w:tcPr>
            <w:tcW w:w="709" w:type="dxa"/>
            <w:tcBorders>
              <w:top w:val="nil"/>
              <w:left w:val="single" w:sz="6" w:space="0" w:color="auto"/>
              <w:bottom w:val="single" w:sz="6" w:space="0" w:color="auto"/>
              <w:right w:val="single" w:sz="6" w:space="0" w:color="auto"/>
            </w:tcBorders>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roofErr w:type="spellStart"/>
            <w:r w:rsidRPr="00B74F1D">
              <w:rPr>
                <w:rFonts w:ascii="Times New Roman" w:eastAsia="Times New Roman" w:hAnsi="Times New Roman" w:cs="Times New Roman"/>
                <w:sz w:val="16"/>
                <w:szCs w:val="20"/>
                <w:lang w:eastAsia="pl-PL"/>
              </w:rPr>
              <w:t>ności</w:t>
            </w:r>
            <w:proofErr w:type="spellEnd"/>
            <w:r w:rsidRPr="00B74F1D">
              <w:rPr>
                <w:rFonts w:ascii="Times New Roman" w:eastAsia="Times New Roman" w:hAnsi="Times New Roman" w:cs="Times New Roman"/>
                <w:sz w:val="16"/>
                <w:szCs w:val="20"/>
                <w:lang w:eastAsia="pl-PL"/>
              </w:rPr>
              <w:t xml:space="preserve"> maszyn</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Walce statyczne </w:t>
            </w:r>
          </w:p>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 gładkie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0,2</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0,2</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Borders>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709" w:type="dxa"/>
            <w:tcBorders>
              <w:top w:val="nil"/>
              <w:left w:val="single" w:sz="6" w:space="0" w:color="auto"/>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vertAlign w:val="superscript"/>
                <w:lang w:eastAsia="pl-PL"/>
              </w:rPr>
            </w:pPr>
            <w:r w:rsidRPr="00B74F1D">
              <w:rPr>
                <w:rFonts w:ascii="Times New Roman" w:eastAsia="Times New Roman" w:hAnsi="Times New Roman" w:cs="Times New Roman"/>
                <w:sz w:val="16"/>
                <w:szCs w:val="20"/>
                <w:lang w:eastAsia="pl-PL"/>
              </w:rPr>
              <w:t>Walce statyczne okołkowane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do 12</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8 do 12</w:t>
            </w:r>
          </w:p>
        </w:tc>
        <w:tc>
          <w:tcPr>
            <w:tcW w:w="709" w:type="dxa"/>
            <w:tcBorders>
              <w:right w:val="single" w:sz="6" w:space="0" w:color="auto"/>
            </w:tcBorders>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Walce statyczne ogumione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0,5</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Walce wibracyjne gładkie **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0,4 do 0,7</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4</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0,6</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5</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Walce wibracyjne okołkowane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0,6</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 do 10</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5)</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Zagęszczarki </w:t>
            </w:r>
          </w:p>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wibracyjne **</w:t>
            </w:r>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0,3 do 0,5</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0,5</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8</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 xml:space="preserve">Ubijaki </w:t>
            </w:r>
            <w:proofErr w:type="spellStart"/>
            <w:r w:rsidRPr="00B74F1D">
              <w:rPr>
                <w:rFonts w:ascii="Times New Roman" w:eastAsia="Times New Roman" w:hAnsi="Times New Roman" w:cs="Times New Roman"/>
                <w:sz w:val="16"/>
                <w:szCs w:val="20"/>
                <w:lang w:eastAsia="pl-PL"/>
              </w:rPr>
              <w:t>szybkouderzające</w:t>
            </w:r>
            <w:proofErr w:type="spellEnd"/>
          </w:p>
        </w:tc>
        <w:tc>
          <w:tcPr>
            <w:tcW w:w="993"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708"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 do4</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0,1 do 0,3</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5</w:t>
            </w:r>
          </w:p>
        </w:tc>
        <w:tc>
          <w:tcPr>
            <w:tcW w:w="851"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0,2 do 0,4</w:t>
            </w:r>
          </w:p>
        </w:tc>
        <w:tc>
          <w:tcPr>
            <w:tcW w:w="850"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4</w:t>
            </w:r>
          </w:p>
        </w:tc>
        <w:tc>
          <w:tcPr>
            <w:tcW w:w="709" w:type="dxa"/>
          </w:tcPr>
          <w:p w:rsidR="00B74F1D" w:rsidRPr="00B74F1D" w:rsidRDefault="00B74F1D" w:rsidP="00B74F1D">
            <w:pPr>
              <w:overflowPunct w:val="0"/>
              <w:autoSpaceDE w:val="0"/>
              <w:autoSpaceDN w:val="0"/>
              <w:adjustRightInd w:val="0"/>
              <w:spacing w:before="60"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6)</w:t>
            </w:r>
          </w:p>
        </w:tc>
      </w:tr>
      <w:tr w:rsidR="00B74F1D" w:rsidRPr="00B74F1D" w:rsidTr="0061552B">
        <w:tc>
          <w:tcPr>
            <w:tcW w:w="1771" w:type="dxa"/>
          </w:tcPr>
          <w:p w:rsidR="00B74F1D" w:rsidRPr="00B74F1D" w:rsidRDefault="00B74F1D" w:rsidP="00B74F1D">
            <w:pPr>
              <w:overflowPunct w:val="0"/>
              <w:autoSpaceDE w:val="0"/>
              <w:autoSpaceDN w:val="0"/>
              <w:adjustRightInd w:val="0"/>
              <w:spacing w:after="0" w:line="240" w:lineRule="auto"/>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Ubijaki o masie od 1 do 10 Mg zrzucane z wysokości od 5 do 10 m</w:t>
            </w:r>
          </w:p>
        </w:tc>
        <w:tc>
          <w:tcPr>
            <w:tcW w:w="993"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2,0 do 8,0</w:t>
            </w:r>
          </w:p>
        </w:tc>
        <w:tc>
          <w:tcPr>
            <w:tcW w:w="708"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4 do 10 uderzeń w punkt</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do 4,0</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 uderzeń w punkt</w:t>
            </w:r>
          </w:p>
        </w:tc>
        <w:tc>
          <w:tcPr>
            <w:tcW w:w="851"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1,0 do 5,0</w:t>
            </w:r>
          </w:p>
        </w:tc>
        <w:tc>
          <w:tcPr>
            <w:tcW w:w="850"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r w:rsidRPr="00B74F1D">
              <w:rPr>
                <w:rFonts w:ascii="Times New Roman" w:eastAsia="Times New Roman" w:hAnsi="Times New Roman" w:cs="Times New Roman"/>
                <w:sz w:val="16"/>
                <w:szCs w:val="20"/>
                <w:lang w:eastAsia="pl-PL"/>
              </w:rPr>
              <w:t>3 do 6 uderzeń w punkt</w:t>
            </w:r>
          </w:p>
        </w:tc>
        <w:tc>
          <w:tcPr>
            <w:tcW w:w="709" w:type="dxa"/>
          </w:tcPr>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20"/>
                <w:lang w:eastAsia="pl-PL"/>
              </w:rPr>
            </w:pP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Walce statyczne są mało przydatne w gruntach kamienistych.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 Wibracyjnie należy zagęszczać warstwy grubości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15 cm, cieńsze warstwy należy zagęszczać statycznie.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Wartości orientacyjne, właściwe należy ustalić na odcinku doświadczalnym.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Uwagi: 1) Do zagęszczania górnych warstw podłoża. Zalecane do codziennego wygładzania (przywałowania) gruntów spoistych w miejscu pobrania i w nasypie.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2) Nie nadają się do gruntów nawodnionych.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3) Mało przydatne w gruntach spoistych.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4) Do gruntów spoistych przydatne są walce średnie i ciężkie, do gruntów kamienistych -  walce bardzo ciężkie.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5) Zalecane do piasków pylastych i gliniastych, pospółek gliniastych i glin piaszczystych.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6) Zalecane do zasypek wąskich przekopów</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46" w:name="_Toc407161280"/>
      <w:bookmarkStart w:id="47" w:name="_Toc418994948"/>
      <w:bookmarkStart w:id="48" w:name="_Toc418996355"/>
      <w:bookmarkStart w:id="49" w:name="_Toc418996724"/>
      <w:bookmarkStart w:id="50" w:name="_Toc418997111"/>
      <w:bookmarkStart w:id="51" w:name="_Toc418998521"/>
      <w:bookmarkStart w:id="52" w:name="_Toc418998877"/>
      <w:bookmarkStart w:id="53" w:name="_Toc419000122"/>
      <w:r w:rsidRPr="00B74F1D">
        <w:rPr>
          <w:rFonts w:ascii="Times New Roman" w:eastAsia="Times New Roman" w:hAnsi="Times New Roman" w:cs="Times New Roman"/>
          <w:b/>
          <w:caps/>
          <w:kern w:val="28"/>
          <w:sz w:val="20"/>
          <w:szCs w:val="20"/>
          <w:lang w:eastAsia="pl-PL"/>
        </w:rPr>
        <w:t>4. transport</w:t>
      </w:r>
      <w:bookmarkEnd w:id="45"/>
      <w:bookmarkEnd w:id="46"/>
      <w:bookmarkEnd w:id="47"/>
      <w:bookmarkEnd w:id="48"/>
      <w:bookmarkEnd w:id="49"/>
      <w:bookmarkEnd w:id="50"/>
      <w:bookmarkEnd w:id="51"/>
      <w:bookmarkEnd w:id="52"/>
      <w:bookmarkEnd w:id="53"/>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wymagania dotyczące transportu podano w OST D-02.00.01 pkt 4.</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4" w:name="_Toc406295861"/>
      <w:bookmarkStart w:id="55" w:name="_Toc407161281"/>
      <w:bookmarkStart w:id="56" w:name="_Toc418994949"/>
      <w:bookmarkStart w:id="57" w:name="_Toc418996356"/>
      <w:bookmarkStart w:id="58" w:name="_Toc418996725"/>
      <w:bookmarkStart w:id="59" w:name="_Toc418997112"/>
      <w:bookmarkStart w:id="60" w:name="_Toc418998522"/>
      <w:bookmarkStart w:id="61" w:name="_Toc418998878"/>
      <w:bookmarkStart w:id="62" w:name="_Toc419000123"/>
      <w:r w:rsidRPr="00B74F1D">
        <w:rPr>
          <w:rFonts w:ascii="Times New Roman" w:eastAsia="Times New Roman" w:hAnsi="Times New Roman" w:cs="Times New Roman"/>
          <w:b/>
          <w:caps/>
          <w:kern w:val="28"/>
          <w:sz w:val="20"/>
          <w:szCs w:val="20"/>
          <w:lang w:eastAsia="pl-PL"/>
        </w:rPr>
        <w:t>5. wykonanie robót</w:t>
      </w:r>
      <w:bookmarkEnd w:id="54"/>
      <w:bookmarkEnd w:id="55"/>
      <w:bookmarkEnd w:id="56"/>
      <w:bookmarkEnd w:id="57"/>
      <w:bookmarkEnd w:id="58"/>
      <w:bookmarkEnd w:id="59"/>
      <w:bookmarkEnd w:id="60"/>
      <w:bookmarkEnd w:id="61"/>
      <w:bookmarkEnd w:id="62"/>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3" w:name="_Toc406295862"/>
      <w:bookmarkStart w:id="64" w:name="_Toc407161282"/>
      <w:r w:rsidRPr="00B74F1D">
        <w:rPr>
          <w:rFonts w:ascii="Times New Roman" w:eastAsia="Times New Roman" w:hAnsi="Times New Roman" w:cs="Times New Roman"/>
          <w:b/>
          <w:sz w:val="20"/>
          <w:szCs w:val="20"/>
          <w:lang w:eastAsia="pl-PL"/>
        </w:rPr>
        <w:t>5.1. Ogólne zasady wykonania robót</w:t>
      </w:r>
      <w:bookmarkEnd w:id="63"/>
      <w:bookmarkEnd w:id="64"/>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wykonania robót podano w OST D-02.00.01 pkt 5.</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5" w:name="_Toc406295863"/>
      <w:bookmarkStart w:id="66" w:name="_Toc407161283"/>
      <w:r w:rsidRPr="00B74F1D">
        <w:rPr>
          <w:rFonts w:ascii="Times New Roman" w:eastAsia="Times New Roman" w:hAnsi="Times New Roman" w:cs="Times New Roman"/>
          <w:b/>
          <w:sz w:val="20"/>
          <w:szCs w:val="20"/>
          <w:lang w:eastAsia="pl-PL"/>
        </w:rPr>
        <w:t>5.2. Ukop i dokop</w:t>
      </w:r>
      <w:bookmarkEnd w:id="65"/>
      <w:bookmarkEnd w:id="66"/>
    </w:p>
    <w:p w:rsidR="00B74F1D" w:rsidRPr="00B74F1D" w:rsidRDefault="00B74F1D" w:rsidP="00B74F1D">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5.2.1. </w:t>
      </w:r>
      <w:r w:rsidRPr="00B74F1D">
        <w:rPr>
          <w:rFonts w:ascii="Times New Roman" w:eastAsia="Times New Roman" w:hAnsi="Times New Roman" w:cs="Times New Roman"/>
          <w:sz w:val="20"/>
          <w:szCs w:val="20"/>
          <w:lang w:eastAsia="pl-PL"/>
        </w:rPr>
        <w:t xml:space="preserve">Miejsce ukopu lub </w:t>
      </w:r>
      <w:proofErr w:type="spellStart"/>
      <w:r w:rsidRPr="00B74F1D">
        <w:rPr>
          <w:rFonts w:ascii="Times New Roman" w:eastAsia="Times New Roman" w:hAnsi="Times New Roman" w:cs="Times New Roman"/>
          <w:sz w:val="20"/>
          <w:szCs w:val="20"/>
          <w:lang w:eastAsia="pl-PL"/>
        </w:rPr>
        <w:t>dokopu</w:t>
      </w:r>
      <w:proofErr w:type="spellEnd"/>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Miejsce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powinno być wskazane w dokumentacji projektowej, w innych dokumentach kontraktowych lub przez Inżyniera. Jeżeli miejsce to zostało wybrane przez Wykonawcę, musi być ono zaakceptowane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Miejsce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5.2.2. </w:t>
      </w:r>
      <w:r w:rsidRPr="00B74F1D">
        <w:rPr>
          <w:rFonts w:ascii="Times New Roman" w:eastAsia="Times New Roman" w:hAnsi="Times New Roman" w:cs="Times New Roman"/>
          <w:sz w:val="20"/>
          <w:szCs w:val="20"/>
          <w:lang w:eastAsia="pl-PL"/>
        </w:rPr>
        <w:t>Zasady prowadzenia robót w ukopie i dokopie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Pozyskiwanie gruntu z ukopu lub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Grunty nieprzydatne do budowy nasypów nie powinny być odspajane, chyba że wymaga tego dostęp do gruntu przeznaczonego do przewiezienia z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w nasyp. Odspojone przez Wykonawcę grunty nieprzydatne powinny być wbudowane z powrotem w miejscu ich pozyskania, zgodnie ze wskazaniami Inżyniera. Roboty te </w:t>
      </w:r>
      <w:r w:rsidRPr="00B74F1D">
        <w:rPr>
          <w:rFonts w:ascii="Times New Roman" w:eastAsia="Times New Roman" w:hAnsi="Times New Roman" w:cs="Times New Roman"/>
          <w:sz w:val="20"/>
          <w:szCs w:val="20"/>
          <w:lang w:eastAsia="pl-PL"/>
        </w:rPr>
        <w:lastRenderedPageBreak/>
        <w:t>będą włączone do obmiaru robót i opłacone przez Zamawiającego tylko wówczas, gdy odspojenie gruntów nieprzydatnych było konieczne i zostało potwierdzone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Dno ukopu należy wykonać ze spadkiem od 2 do 3% w kierunku możliwego spływu wody. O ile to konieczne, ukop (dokop) należy odwodnić przez wykonanie rowu odpływowego.</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ukop jest zlokalizowany na zboczu, nie może on naruszać stateczności zbocza.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Dno i skarpy ukopu po zakończeniu jego eksploatacji powinny być tak ukształtowane, aby harmonizowały z otaczającym terenem. Na dnie i skarpach ukopu należy przeprowadzić rekultywację według odrębnej dokumentacji projektowej.</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7" w:name="_Toc406295864"/>
      <w:bookmarkStart w:id="68" w:name="_Toc407161284"/>
      <w:r w:rsidRPr="00B74F1D">
        <w:rPr>
          <w:rFonts w:ascii="Times New Roman" w:eastAsia="Times New Roman" w:hAnsi="Times New Roman" w:cs="Times New Roman"/>
          <w:b/>
          <w:sz w:val="20"/>
          <w:szCs w:val="20"/>
          <w:lang w:eastAsia="pl-PL"/>
        </w:rPr>
        <w:t>5.3. Wykonanie nasypów</w:t>
      </w:r>
      <w:bookmarkEnd w:id="67"/>
      <w:bookmarkEnd w:id="68"/>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 </w:t>
      </w:r>
      <w:r w:rsidRPr="00B74F1D">
        <w:rPr>
          <w:rFonts w:ascii="Times New Roman" w:eastAsia="Times New Roman" w:hAnsi="Times New Roman" w:cs="Times New Roman"/>
          <w:sz w:val="20"/>
          <w:szCs w:val="20"/>
          <w:lang w:eastAsia="pl-PL"/>
        </w:rPr>
        <w:t>Przygotowanie podłoża w obrębie podstawy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Przed przystąpieniem do budowy nasypu należy w obrębie jego podstawy zakończyć roboty przygotowawcze, określone w OST D-01.00.00 „Roboty przygotowawcze”.</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5.3.1.1. </w:t>
      </w:r>
      <w:r w:rsidRPr="00B74F1D">
        <w:rPr>
          <w:rFonts w:ascii="Times New Roman" w:eastAsia="Times New Roman" w:hAnsi="Times New Roman" w:cs="Times New Roman"/>
          <w:sz w:val="20"/>
          <w:szCs w:val="20"/>
          <w:lang w:eastAsia="pl-PL"/>
        </w:rPr>
        <w:t>Wycięcie stopni w zboczu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Jeżeli pochylenie poprzeczne terenu w stosunku do osi nasypu jest większe niż 1:5 należy, dla zabezpieczenia przed zsuwaniem się nasypu, wykonać w zboczu stopnie o spadku górnej powierzchni, wynoszącym około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 xml:space="preserve"> 1% i szerokości od 1,0 do 2,5 m.</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5.3.1.2. </w:t>
      </w:r>
      <w:r w:rsidRPr="00B74F1D">
        <w:rPr>
          <w:rFonts w:ascii="Times New Roman" w:eastAsia="Times New Roman" w:hAnsi="Times New Roman" w:cs="Times New Roman"/>
          <w:sz w:val="20"/>
          <w:szCs w:val="20"/>
          <w:lang w:eastAsia="pl-PL"/>
        </w:rPr>
        <w:t>Zagęszczenie gruntu i nośność w podłożu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B74F1D" w:rsidRPr="00B74F1D" w:rsidRDefault="00B74F1D" w:rsidP="00B74F1D">
      <w:pPr>
        <w:overflowPunct w:val="0"/>
        <w:autoSpaceDE w:val="0"/>
        <w:autoSpaceDN w:val="0"/>
        <w:adjustRightInd w:val="0"/>
        <w:spacing w:before="120" w:after="120" w:line="240" w:lineRule="auto"/>
        <w:ind w:left="992" w:hanging="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3. Minimalne wartości wskaźnika zagęszczenia dla podłoża nasypów do głębokości 0,5 m od powierzchni terenu</w:t>
      </w:r>
    </w:p>
    <w:tbl>
      <w:tblPr>
        <w:tblW w:w="0" w:type="auto"/>
        <w:tblLayout w:type="fixed"/>
        <w:tblCellMar>
          <w:left w:w="70" w:type="dxa"/>
          <w:right w:w="70" w:type="dxa"/>
        </w:tblCellMar>
        <w:tblLook w:val="0000" w:firstRow="0" w:lastRow="0" w:firstColumn="0" w:lastColumn="0" w:noHBand="0" w:noVBand="0"/>
      </w:tblPr>
      <w:tblGrid>
        <w:gridCol w:w="1346"/>
        <w:gridCol w:w="2020"/>
      </w:tblGrid>
      <w:tr w:rsidR="00122327" w:rsidRPr="00B74F1D" w:rsidTr="0061552B">
        <w:trPr>
          <w:gridAfter w:val="1"/>
          <w:wAfter w:w="2020" w:type="dxa"/>
        </w:trPr>
        <w:tc>
          <w:tcPr>
            <w:tcW w:w="1346" w:type="dxa"/>
            <w:tcBorders>
              <w:top w:val="single" w:sz="6" w:space="0" w:color="auto"/>
              <w:lef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Nasypy</w:t>
            </w:r>
          </w:p>
        </w:tc>
      </w:tr>
      <w:tr w:rsidR="00122327" w:rsidRPr="00B74F1D" w:rsidTr="00156017">
        <w:trPr>
          <w:gridAfter w:val="1"/>
          <w:wAfter w:w="2020" w:type="dxa"/>
          <w:trHeight w:val="60"/>
        </w:trPr>
        <w:tc>
          <w:tcPr>
            <w:tcW w:w="1346" w:type="dxa"/>
            <w:tcBorders>
              <w:lef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 wysokości,</w:t>
            </w:r>
          </w:p>
        </w:tc>
      </w:tr>
      <w:tr w:rsidR="00122327" w:rsidRPr="00B74F1D" w:rsidTr="0061552B">
        <w:tc>
          <w:tcPr>
            <w:tcW w:w="1346" w:type="dxa"/>
            <w:tcBorders>
              <w:left w:val="single" w:sz="6" w:space="0" w:color="auto"/>
              <w:bottom w:val="doub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m</w:t>
            </w:r>
          </w:p>
        </w:tc>
        <w:tc>
          <w:tcPr>
            <w:tcW w:w="2020" w:type="dxa"/>
            <w:tcBorders>
              <w:top w:val="single" w:sz="6" w:space="0" w:color="auto"/>
              <w:left w:val="single" w:sz="6" w:space="0" w:color="auto"/>
              <w:bottom w:val="double" w:sz="6" w:space="0" w:color="auto"/>
              <w:righ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kategoria ruchu</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KR1-KR2 </w:t>
            </w:r>
          </w:p>
        </w:tc>
      </w:tr>
      <w:tr w:rsidR="00122327" w:rsidRPr="00B74F1D" w:rsidTr="0061552B">
        <w:tc>
          <w:tcPr>
            <w:tcW w:w="1346"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do 2 </w:t>
            </w:r>
          </w:p>
        </w:tc>
        <w:tc>
          <w:tcPr>
            <w:tcW w:w="2020"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r w:rsidR="00122327" w:rsidRPr="00B74F1D" w:rsidTr="0061552B">
        <w:tc>
          <w:tcPr>
            <w:tcW w:w="134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ponad 2 </w:t>
            </w:r>
          </w:p>
        </w:tc>
        <w:tc>
          <w:tcPr>
            <w:tcW w:w="2020"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60" w:after="6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r>
    </w:p>
    <w:p w:rsidR="00B74F1D" w:rsidRPr="00B74F1D" w:rsidRDefault="00B74F1D" w:rsidP="00B74F1D">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Dodatkowo można sprawdzić nośność warstwy gruntu podłoża nasypu na podstawie pomiaru wtórnego modułu odkształcenia E</w:t>
      </w:r>
      <w:r w:rsidRPr="00B74F1D">
        <w:rPr>
          <w:rFonts w:ascii="Times New Roman" w:eastAsia="Times New Roman" w:hAnsi="Times New Roman" w:cs="Times New Roman"/>
          <w:sz w:val="20"/>
          <w:szCs w:val="20"/>
          <w:vertAlign w:val="subscript"/>
          <w:lang w:eastAsia="pl-PL"/>
        </w:rPr>
        <w:t>2</w:t>
      </w:r>
      <w:r w:rsidRPr="00B74F1D">
        <w:rPr>
          <w:rFonts w:ascii="Times New Roman" w:eastAsia="Times New Roman" w:hAnsi="Times New Roman" w:cs="Times New Roman"/>
          <w:sz w:val="20"/>
          <w:szCs w:val="20"/>
          <w:lang w:eastAsia="pl-PL"/>
        </w:rPr>
        <w:t xml:space="preserve"> zgodnie z PN-02205:1998 [4] rysunek 3.</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5.3.1.3. </w:t>
      </w:r>
      <w:r w:rsidRPr="00B74F1D">
        <w:rPr>
          <w:rFonts w:ascii="Times New Roman" w:eastAsia="Times New Roman" w:hAnsi="Times New Roman" w:cs="Times New Roman"/>
          <w:sz w:val="20"/>
          <w:szCs w:val="20"/>
          <w:lang w:eastAsia="pl-PL"/>
        </w:rPr>
        <w:t>Spulchnienie gruntów w podłożu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5.3.2. </w:t>
      </w:r>
      <w:r w:rsidRPr="00B74F1D">
        <w:rPr>
          <w:rFonts w:ascii="Times New Roman" w:eastAsia="Times New Roman" w:hAnsi="Times New Roman" w:cs="Times New Roman"/>
          <w:sz w:val="20"/>
          <w:szCs w:val="20"/>
          <w:lang w:eastAsia="pl-PL"/>
        </w:rPr>
        <w:t>Wybór gruntów i materiałów do wykonania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Wybór gruntów i materiałów do wykonania nasypów powinien być dokonany z uwzględnieniem zasad podanych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2.</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 </w:t>
      </w:r>
      <w:r w:rsidRPr="00B74F1D">
        <w:rPr>
          <w:rFonts w:ascii="Times New Roman" w:eastAsia="Times New Roman" w:hAnsi="Times New Roman" w:cs="Times New Roman"/>
          <w:sz w:val="20"/>
          <w:szCs w:val="20"/>
          <w:lang w:eastAsia="pl-PL"/>
        </w:rPr>
        <w:t>Zasady wykonania nasypów</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5.3.3.1. </w:t>
      </w:r>
      <w:r w:rsidRPr="00B74F1D">
        <w:rPr>
          <w:rFonts w:ascii="Times New Roman" w:eastAsia="Times New Roman" w:hAnsi="Times New Roman" w:cs="Times New Roman"/>
          <w:sz w:val="20"/>
          <w:szCs w:val="20"/>
          <w:lang w:eastAsia="pl-PL"/>
        </w:rPr>
        <w:t>Ogólne zasady wykonywania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Nasypy powinny być wznoszone przy zachowaniu przekroju poprzecznego i profilu podłużnego, które określono w dokumentacji projektowej, z uwzględnieniem ewentualnych zmian wprowadzonych zawczasu przez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celu zapewnienia stateczności nasypu i jego równomiernego osiadania należy przestrzegać następujących zasad:</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Nasypy należy wykonywać metodą warstwową, z gruntów przydatnych do budowy nasypów. Nasypy powinny być wznoszone równomiernie na całej szerokości.</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Grunty o różnych właściwościach należy wbudowywać w oddzielnych warstwach, o jednakowej grubości na całej szerokości nasypu. Grunty spoiste należy wbudowywać w dolne, a grunty niespoiste w górne warstwy nasypu.</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Warstwy gruntu przepuszczalnego należy wbudowywać poziomo, a warstwy gruntu mało przepuszczalnego (o współczynniku K</w:t>
      </w:r>
      <w:r w:rsidRPr="00B74F1D">
        <w:rPr>
          <w:rFonts w:ascii="Times New Roman" w:eastAsia="Times New Roman" w:hAnsi="Times New Roman" w:cs="Times New Roman"/>
          <w:sz w:val="20"/>
          <w:szCs w:val="20"/>
          <w:vertAlign w:val="subscript"/>
          <w:lang w:eastAsia="pl-PL"/>
        </w:rPr>
        <w:t>10</w:t>
      </w:r>
      <w:r w:rsidRPr="00B74F1D">
        <w:rPr>
          <w:rFonts w:ascii="Times New Roman" w:eastAsia="Times New Roman" w:hAnsi="Times New Roman" w:cs="Times New Roman"/>
          <w:position w:val="-4"/>
          <w:sz w:val="20"/>
          <w:szCs w:val="20"/>
          <w:lang w:eastAsia="pl-PL"/>
        </w:rPr>
        <w:object w:dxaOrig="1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1.5pt" o:ole="">
            <v:imagedata r:id="rId9" o:title=""/>
          </v:shape>
          <o:OLEObject Type="Embed" ProgID="Equation.3" ShapeID="_x0000_i1025" DrawAspect="Content" ObjectID="_1628344321" r:id="rId10"/>
        </w:object>
      </w:r>
      <w:r w:rsidRPr="00B74F1D">
        <w:rPr>
          <w:rFonts w:ascii="Times New Roman" w:eastAsia="Times New Roman" w:hAnsi="Times New Roman" w:cs="Times New Roman"/>
          <w:sz w:val="20"/>
          <w:szCs w:val="20"/>
          <w:lang w:eastAsia="pl-PL"/>
        </w:rPr>
        <w:t>10</w:t>
      </w:r>
      <w:r w:rsidRPr="00B74F1D">
        <w:rPr>
          <w:rFonts w:ascii="Times New Roman" w:eastAsia="Times New Roman" w:hAnsi="Times New Roman" w:cs="Times New Roman"/>
          <w:sz w:val="20"/>
          <w:szCs w:val="20"/>
          <w:vertAlign w:val="superscript"/>
          <w:lang w:eastAsia="pl-PL"/>
        </w:rPr>
        <w:t>-5</w:t>
      </w:r>
      <w:r w:rsidRPr="00B74F1D">
        <w:rPr>
          <w:rFonts w:ascii="Times New Roman" w:eastAsia="Times New Roman" w:hAnsi="Times New Roman" w:cs="Times New Roman"/>
          <w:sz w:val="20"/>
          <w:szCs w:val="20"/>
          <w:lang w:eastAsia="pl-PL"/>
        </w:rPr>
        <w:t xml:space="preserve"> m/s) ze spadkiem górnej powierzchni około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Górną warstwę nasypu, o grubości co najmniej 0,5 m należy wykonać z gruntów </w:t>
      </w:r>
      <w:proofErr w:type="spellStart"/>
      <w:r w:rsidRPr="00B74F1D">
        <w:rPr>
          <w:rFonts w:ascii="Times New Roman" w:eastAsia="Times New Roman" w:hAnsi="Times New Roman" w:cs="Times New Roman"/>
          <w:sz w:val="20"/>
          <w:szCs w:val="20"/>
          <w:lang w:eastAsia="pl-PL"/>
        </w:rPr>
        <w:t>niewysadzinowych</w:t>
      </w:r>
      <w:proofErr w:type="spellEnd"/>
      <w:r w:rsidRPr="00B74F1D">
        <w:rPr>
          <w:rFonts w:ascii="Times New Roman" w:eastAsia="Times New Roman" w:hAnsi="Times New Roman" w:cs="Times New Roman"/>
          <w:sz w:val="20"/>
          <w:szCs w:val="20"/>
          <w:lang w:eastAsia="pl-PL"/>
        </w:rPr>
        <w:t>, o wskaźniku wodoprzepuszczalności K</w:t>
      </w:r>
      <w:r w:rsidRPr="00B74F1D">
        <w:rPr>
          <w:rFonts w:ascii="Times New Roman" w:eastAsia="Times New Roman" w:hAnsi="Times New Roman" w:cs="Times New Roman"/>
          <w:sz w:val="20"/>
          <w:szCs w:val="20"/>
          <w:vertAlign w:val="subscript"/>
          <w:lang w:eastAsia="pl-PL"/>
        </w:rPr>
        <w:t xml:space="preserve">10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6 </w:t>
      </w:r>
      <w:r w:rsidRPr="00B74F1D">
        <w:rPr>
          <w:rFonts w:ascii="Times New Roman" w:eastAsia="Times New Roman" w:hAnsi="Times New Roman" w:cs="Times New Roman"/>
          <w:position w:val="-4"/>
          <w:sz w:val="20"/>
          <w:szCs w:val="20"/>
          <w:lang w:eastAsia="pl-PL"/>
        </w:rPr>
        <w:object w:dxaOrig="180" w:dyaOrig="180">
          <v:shape id="_x0000_i1026" type="#_x0000_t75" style="width:9pt;height:9pt" o:ole="">
            <v:imagedata r:id="rId11" o:title=""/>
          </v:shape>
          <o:OLEObject Type="Embed" ProgID="Equation.3" ShapeID="_x0000_i1026" DrawAspect="Content" ObjectID="_1628344322" r:id="rId12"/>
        </w:object>
      </w:r>
      <w:r w:rsidRPr="00B74F1D">
        <w:rPr>
          <w:rFonts w:ascii="Times New Roman" w:eastAsia="Times New Roman" w:hAnsi="Times New Roman" w:cs="Times New Roman"/>
          <w:sz w:val="20"/>
          <w:szCs w:val="20"/>
          <w:lang w:eastAsia="pl-PL"/>
        </w:rPr>
        <w:t xml:space="preserve">10 </w:t>
      </w:r>
      <w:r w:rsidRPr="00B74F1D">
        <w:rPr>
          <w:rFonts w:ascii="Times New Roman" w:eastAsia="Times New Roman" w:hAnsi="Times New Roman" w:cs="Times New Roman"/>
          <w:sz w:val="20"/>
          <w:szCs w:val="20"/>
          <w:vertAlign w:val="superscript"/>
          <w:lang w:eastAsia="pl-PL"/>
        </w:rPr>
        <w:t xml:space="preserve">–5 </w:t>
      </w:r>
      <w:r w:rsidRPr="00B74F1D">
        <w:rPr>
          <w:rFonts w:ascii="Times New Roman" w:eastAsia="Times New Roman" w:hAnsi="Times New Roman" w:cs="Times New Roman"/>
          <w:sz w:val="20"/>
          <w:szCs w:val="20"/>
          <w:lang w:eastAsia="pl-PL"/>
        </w:rPr>
        <w:t xml:space="preserve">m/s i wskaźniku różnoziarnistości U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 terenach o wysokim stanie wód gruntowych oraz na terenach zalewowych dolne warstwy nasypu, o grubości co najmniej 0,5 m powyżej najwyższego poziomu wody, należy wykonać z gruntu przepuszczalnego.</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Przy wykonywaniu nasypów z popiołów lotnych, warstwę pod popiołami, grubości 0,3 do 0,5 m, należy wykonać z gruntu lub materiałów o dużej przepuszczalności. Górnej powierzchni warstwy popiołu należy nadać spadki poprzeczne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1% według poz. d).</w:t>
      </w:r>
    </w:p>
    <w:p w:rsidR="00B74F1D" w:rsidRPr="00B74F1D" w:rsidRDefault="00B74F1D" w:rsidP="00B74F1D">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Grunt przewieziony w miejsce wbudowania powinien być bezzwłocznie wbudowany w nasyp. Inżynier może dopuścić czasowe składowanie gruntu, pod warunkiem jego zabezpieczenia przed nadmiernym zawilgoceniem.</w:t>
      </w:r>
    </w:p>
    <w:p w:rsidR="00B74F1D" w:rsidRPr="00B74F1D" w:rsidRDefault="00B74F1D" w:rsidP="00B74F1D">
      <w:pPr>
        <w:overflowPunct w:val="0"/>
        <w:autoSpaceDE w:val="0"/>
        <w:autoSpaceDN w:val="0"/>
        <w:adjustRightInd w:val="0"/>
        <w:spacing w:before="120" w:after="120" w:line="240" w:lineRule="auto"/>
        <w:ind w:left="709" w:hanging="709"/>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5.3.3.2. </w:t>
      </w:r>
      <w:r w:rsidRPr="00B74F1D">
        <w:rPr>
          <w:rFonts w:ascii="Times New Roman" w:eastAsia="Times New Roman" w:hAnsi="Times New Roman" w:cs="Times New Roman"/>
          <w:sz w:val="20"/>
          <w:szCs w:val="20"/>
          <w:lang w:eastAsia="pl-PL"/>
        </w:rPr>
        <w:t>Wykonywanie nasypów z gruntów kamienistych lub gruboziarnistych odpadów przemysłowych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Wykonywanie nasypów z gruntów kamienistych lub gruboziarnistych odpadów przemysłowych powinno odbywać się według jednej z niżej podanych metod, jeśli nie zostało określone inaczej w dokumentacji projektowej, SST lub przez Inżyniera:</w:t>
      </w:r>
    </w:p>
    <w:p w:rsidR="00B74F1D" w:rsidRPr="00B74F1D" w:rsidRDefault="00B74F1D" w:rsidP="00B74F1D">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Wykonywanie nasypów z gruntów kamienistych lub gruboziarnistych odpadów przemysłowych z wypełnieniem wolnych przestrzeni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B74F1D" w:rsidRPr="00B74F1D" w:rsidRDefault="00B74F1D" w:rsidP="00B74F1D">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Wykonywanie nasypów z gruntów kamienistych lub gruboziarnistych odpadów przemysłowych bez wypełnienia wolnych przestrzeni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rsidRPr="00B74F1D">
        <w:rPr>
          <w:rFonts w:ascii="Times New Roman" w:eastAsia="Times New Roman" w:hAnsi="Times New Roman" w:cs="Times New Roman"/>
          <w:sz w:val="20"/>
          <w:szCs w:val="20"/>
          <w:lang w:eastAsia="pl-PL"/>
        </w:rPr>
        <w:t>ziarn</w:t>
      </w:r>
      <w:proofErr w:type="spellEnd"/>
      <w:r w:rsidRPr="00B74F1D">
        <w:rPr>
          <w:rFonts w:ascii="Times New Roman" w:eastAsia="Times New Roman" w:hAnsi="Times New Roman" w:cs="Times New Roman"/>
          <w:sz w:val="20"/>
          <w:szCs w:val="20"/>
          <w:lang w:eastAsia="pl-PL"/>
        </w:rPr>
        <w:t xml:space="preserve"> mniejszych od 2 mm i spełniających warunek:</w:t>
      </w:r>
    </w:p>
    <w:p w:rsidR="00B74F1D" w:rsidRPr="00B74F1D" w:rsidRDefault="00B74F1D"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vertAlign w:val="subscript"/>
          <w:lang w:eastAsia="pl-PL"/>
        </w:rPr>
      </w:pPr>
      <w:r w:rsidRPr="00B74F1D">
        <w:rPr>
          <w:rFonts w:ascii="Times New Roman" w:eastAsia="Times New Roman" w:hAnsi="Times New Roman" w:cs="Times New Roman"/>
          <w:sz w:val="20"/>
          <w:szCs w:val="20"/>
          <w:lang w:eastAsia="pl-PL"/>
        </w:rPr>
        <w:t>4 d</w:t>
      </w:r>
      <w:r w:rsidRPr="00B74F1D">
        <w:rPr>
          <w:rFonts w:ascii="Times New Roman" w:eastAsia="Times New Roman" w:hAnsi="Times New Roman" w:cs="Times New Roman"/>
          <w:sz w:val="20"/>
          <w:szCs w:val="20"/>
          <w:vertAlign w:val="subscript"/>
          <w:lang w:eastAsia="pl-PL"/>
        </w:rPr>
        <w:t>85</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 xml:space="preserve"> 4 d</w:t>
      </w:r>
      <w:r w:rsidRPr="00B74F1D">
        <w:rPr>
          <w:rFonts w:ascii="Times New Roman" w:eastAsia="Times New Roman" w:hAnsi="Times New Roman" w:cs="Times New Roman"/>
          <w:sz w:val="20"/>
          <w:szCs w:val="20"/>
          <w:vertAlign w:val="subscript"/>
          <w:lang w:eastAsia="pl-PL"/>
        </w:rPr>
        <w:t>15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gdzie:</w:t>
      </w:r>
    </w:p>
    <w:p w:rsidR="00B74F1D" w:rsidRPr="00B74F1D" w:rsidRDefault="00B74F1D" w:rsidP="00B74F1D">
      <w:pPr>
        <w:tabs>
          <w:tab w:val="left" w:pos="709"/>
        </w:tabs>
        <w:overflowPunct w:val="0"/>
        <w:autoSpaceDE w:val="0"/>
        <w:autoSpaceDN w:val="0"/>
        <w:adjustRightInd w:val="0"/>
        <w:spacing w:after="0" w:line="240" w:lineRule="auto"/>
        <w:ind w:left="851" w:hanging="851"/>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w:t>
      </w:r>
      <w:r w:rsidRPr="00B74F1D">
        <w:rPr>
          <w:rFonts w:ascii="Times New Roman" w:eastAsia="Times New Roman" w:hAnsi="Times New Roman" w:cs="Times New Roman"/>
          <w:sz w:val="20"/>
          <w:szCs w:val="20"/>
          <w:vertAlign w:val="subscript"/>
          <w:lang w:eastAsia="pl-PL"/>
        </w:rPr>
        <w:t>85</w:t>
      </w:r>
      <w:r w:rsidRPr="00B74F1D">
        <w:rPr>
          <w:rFonts w:ascii="Times New Roman" w:eastAsia="Times New Roman" w:hAnsi="Times New Roman" w:cs="Times New Roman"/>
          <w:sz w:val="20"/>
          <w:szCs w:val="20"/>
          <w:lang w:eastAsia="pl-PL"/>
        </w:rPr>
        <w:t xml:space="preserve"> i 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ab/>
        <w:t>- średnica oczek sita, przez które przechodzi 85% i 15% gruntu podłoża lub gruntu górnej warstwy nasypu (mm),</w:t>
      </w:r>
    </w:p>
    <w:p w:rsidR="00B74F1D" w:rsidRPr="00B74F1D" w:rsidRDefault="00B74F1D" w:rsidP="00B74F1D">
      <w:pPr>
        <w:tabs>
          <w:tab w:val="left" w:pos="709"/>
        </w:tabs>
        <w:overflowPunct w:val="0"/>
        <w:autoSpaceDE w:val="0"/>
        <w:autoSpaceDN w:val="0"/>
        <w:adjustRightInd w:val="0"/>
        <w:spacing w:after="0" w:line="240" w:lineRule="auto"/>
        <w:ind w:left="851" w:hanging="851"/>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w:t>
      </w:r>
      <w:r w:rsidRPr="00B74F1D">
        <w:rPr>
          <w:rFonts w:ascii="Times New Roman" w:eastAsia="Times New Roman" w:hAnsi="Times New Roman" w:cs="Times New Roman"/>
          <w:sz w:val="20"/>
          <w:szCs w:val="20"/>
          <w:vertAlign w:val="subscript"/>
          <w:lang w:eastAsia="pl-PL"/>
        </w:rPr>
        <w:t>15</w:t>
      </w:r>
      <w:r w:rsidRPr="00B74F1D">
        <w:rPr>
          <w:rFonts w:ascii="Times New Roman" w:eastAsia="Times New Roman" w:hAnsi="Times New Roman" w:cs="Times New Roman"/>
          <w:sz w:val="20"/>
          <w:szCs w:val="20"/>
          <w:lang w:eastAsia="pl-PL"/>
        </w:rPr>
        <w:tab/>
        <w:t>- średnica oczek sita, przez które przechodzi 15% materiału gruboziarnistego (mm).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Części nasypów wykonywane tą metodą nie mogą sięgać wyżej niż 1,2 m od projektowanej niwelety nasypu.</w:t>
      </w:r>
    </w:p>
    <w:p w:rsidR="00B74F1D" w:rsidRPr="00B74F1D" w:rsidRDefault="00B74F1D" w:rsidP="00B74F1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Warstwa oddzielająca z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przy wykonywaniu nasypów z gruntów kamienistych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Rolę warstw oddzielających mogą również pełnić warstwy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w:t>
      </w:r>
      <w:proofErr w:type="spellStart"/>
      <w:r w:rsidRPr="00B74F1D">
        <w:rPr>
          <w:rFonts w:ascii="Times New Roman" w:eastAsia="Times New Roman" w:hAnsi="Times New Roman" w:cs="Times New Roman"/>
          <w:sz w:val="20"/>
          <w:szCs w:val="20"/>
          <w:lang w:eastAsia="pl-PL"/>
        </w:rPr>
        <w:t>Geotekstylia</w:t>
      </w:r>
      <w:proofErr w:type="spellEnd"/>
      <w:r w:rsidRPr="00B74F1D">
        <w:rPr>
          <w:rFonts w:ascii="Times New Roman" w:eastAsia="Times New Roman" w:hAnsi="Times New Roman" w:cs="Times New Roman"/>
          <w:sz w:val="20"/>
          <w:szCs w:val="20"/>
          <w:lang w:eastAsia="pl-PL"/>
        </w:rPr>
        <w:t xml:space="preserve"> przewidziane do użycia w tym celu powinny posiadać aprobatę techniczną, wydaną przez uprawnioną jednostkę. W szczególności </w:t>
      </w:r>
      <w:r w:rsidRPr="00B74F1D">
        <w:rPr>
          <w:rFonts w:ascii="Times New Roman" w:eastAsia="Times New Roman" w:hAnsi="Times New Roman" w:cs="Times New Roman"/>
          <w:sz w:val="20"/>
          <w:szCs w:val="20"/>
          <w:lang w:eastAsia="pl-PL"/>
        </w:rPr>
        <w:lastRenderedPageBreak/>
        <w:t xml:space="preserve">wymagana jest odpowiednia wytrzymałość mechaniczna </w:t>
      </w:r>
      <w:proofErr w:type="spellStart"/>
      <w:r w:rsidRPr="00B74F1D">
        <w:rPr>
          <w:rFonts w:ascii="Times New Roman" w:eastAsia="Times New Roman" w:hAnsi="Times New Roman" w:cs="Times New Roman"/>
          <w:sz w:val="20"/>
          <w:szCs w:val="20"/>
          <w:lang w:eastAsia="pl-PL"/>
        </w:rPr>
        <w:t>geotekstyliów</w:t>
      </w:r>
      <w:proofErr w:type="spellEnd"/>
      <w:r w:rsidRPr="00B74F1D">
        <w:rPr>
          <w:rFonts w:ascii="Times New Roman" w:eastAsia="Times New Roman" w:hAnsi="Times New Roman" w:cs="Times New Roman"/>
          <w:sz w:val="20"/>
          <w:szCs w:val="20"/>
          <w:lang w:eastAsia="pl-PL"/>
        </w:rPr>
        <w:t xml:space="preserve">, uniemożliwiająca ich przebicie przez ziarna materiału gruboziarnistego oraz odpowiednie właściwości filtracyjne, dostosowane do </w:t>
      </w:r>
      <w:proofErr w:type="spellStart"/>
      <w:r w:rsidRPr="00B74F1D">
        <w:rPr>
          <w:rFonts w:ascii="Times New Roman" w:eastAsia="Times New Roman" w:hAnsi="Times New Roman" w:cs="Times New Roman"/>
          <w:sz w:val="20"/>
          <w:szCs w:val="20"/>
          <w:lang w:eastAsia="pl-PL"/>
        </w:rPr>
        <w:t>uziarniania</w:t>
      </w:r>
      <w:proofErr w:type="spellEnd"/>
      <w:r w:rsidRPr="00B74F1D">
        <w:rPr>
          <w:rFonts w:ascii="Times New Roman" w:eastAsia="Times New Roman" w:hAnsi="Times New Roman" w:cs="Times New Roman"/>
          <w:sz w:val="20"/>
          <w:szCs w:val="20"/>
          <w:lang w:eastAsia="pl-PL"/>
        </w:rPr>
        <w:t xml:space="preserve"> przyległych warstw.</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5.3.3.3. </w:t>
      </w:r>
      <w:r w:rsidRPr="00B74F1D">
        <w:rPr>
          <w:rFonts w:ascii="Times New Roman" w:eastAsia="Times New Roman" w:hAnsi="Times New Roman" w:cs="Times New Roman"/>
          <w:sz w:val="20"/>
          <w:szCs w:val="20"/>
          <w:lang w:eastAsia="pl-PL"/>
        </w:rPr>
        <w:t>Wykonywanie nasypów na dojazdach do obiektów mostowych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Do wykonywania nasypów na dojazdach do obiektów mostowych, na długości równej długości klina odłamu, zaleca się stosowanie gruntów stabilizowanych cementem.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Do wykonania nasypów na dojazdach do mostów i wiaduktów, bez ulepszania gruntów spoiwem, mogą być stosowane żwiry, pospółki, piaski średnioziarniste i gruboziarniste, </w:t>
      </w:r>
      <w:proofErr w:type="spellStart"/>
      <w:r w:rsidRPr="00B74F1D">
        <w:rPr>
          <w:rFonts w:ascii="Times New Roman" w:eastAsia="Times New Roman" w:hAnsi="Times New Roman" w:cs="Times New Roman"/>
          <w:sz w:val="20"/>
          <w:szCs w:val="20"/>
          <w:lang w:eastAsia="pl-PL"/>
        </w:rPr>
        <w:t>owskaźniku</w:t>
      </w:r>
      <w:proofErr w:type="spellEnd"/>
      <w:r w:rsidRPr="00B74F1D">
        <w:rPr>
          <w:rFonts w:ascii="Times New Roman" w:eastAsia="Times New Roman" w:hAnsi="Times New Roman" w:cs="Times New Roman"/>
          <w:sz w:val="20"/>
          <w:szCs w:val="20"/>
          <w:lang w:eastAsia="pl-PL"/>
        </w:rPr>
        <w:t xml:space="preserve"> różnoziarnistości U</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5 i współczynniku wodoprzepuszczalności k</w:t>
      </w:r>
      <w:r w:rsidRPr="00B74F1D">
        <w:rPr>
          <w:rFonts w:ascii="Times New Roman" w:eastAsia="Times New Roman" w:hAnsi="Times New Roman" w:cs="Times New Roman"/>
          <w:sz w:val="20"/>
          <w:szCs w:val="20"/>
          <w:vertAlign w:val="subscript"/>
          <w:lang w:eastAsia="pl-PL"/>
        </w:rPr>
        <w:t>10</w:t>
      </w:r>
      <w:r w:rsidRPr="00B74F1D">
        <w:rPr>
          <w:rFonts w:ascii="Times New Roman" w:eastAsia="Times New Roman" w:hAnsi="Times New Roman" w:cs="Times New Roman"/>
          <w:sz w:val="20"/>
          <w:szCs w:val="20"/>
          <w:lang w:eastAsia="pl-PL"/>
        </w:rPr>
        <w:t xml:space="preserve"> </w:t>
      </w:r>
      <w:r w:rsidRPr="00B74F1D">
        <w:rPr>
          <w:rFonts w:ascii="Times New Roman" w:eastAsia="Times New Roman" w:hAnsi="Times New Roman" w:cs="Times New Roman"/>
          <w:sz w:val="20"/>
          <w:szCs w:val="20"/>
          <w:lang w:eastAsia="pl-PL"/>
        </w:rPr>
        <w:sym w:font="Symbol" w:char="F03E"/>
      </w:r>
      <w:r w:rsidRPr="00B74F1D">
        <w:rPr>
          <w:rFonts w:ascii="Times New Roman" w:eastAsia="Times New Roman" w:hAnsi="Times New Roman" w:cs="Times New Roman"/>
          <w:sz w:val="20"/>
          <w:szCs w:val="20"/>
          <w:lang w:eastAsia="pl-PL"/>
        </w:rPr>
        <w:t xml:space="preserve"> 10</w:t>
      </w:r>
      <w:r w:rsidRPr="00B74F1D">
        <w:rPr>
          <w:rFonts w:ascii="Times New Roman" w:eastAsia="Times New Roman" w:hAnsi="Times New Roman" w:cs="Times New Roman"/>
          <w:sz w:val="20"/>
          <w:szCs w:val="20"/>
          <w:vertAlign w:val="superscript"/>
          <w:lang w:eastAsia="pl-PL"/>
        </w:rPr>
        <w:t xml:space="preserve"> -5</w:t>
      </w:r>
      <w:r w:rsidRPr="00B74F1D">
        <w:rPr>
          <w:rFonts w:ascii="Times New Roman" w:eastAsia="Times New Roman" w:hAnsi="Times New Roman" w:cs="Times New Roman"/>
          <w:sz w:val="20"/>
          <w:szCs w:val="20"/>
          <w:lang w:eastAsia="pl-PL"/>
        </w:rPr>
        <w:t xml:space="preserve"> m/s.</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czasie wykonywania nasypu na dojazdach należy spełnić wymagania ogólne, sformułowane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5.3.3.1. Wskaźnik zagęszczenia gruntu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powinien być nie mniejszy niż 1,00 na całej wysokości nasypu (dla autostrad i dróg ekspresowych górne 0,2 m nasypu - 1,03 tablica 4).</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5.3.3.4.</w:t>
      </w:r>
      <w:r w:rsidRPr="00B74F1D">
        <w:rPr>
          <w:rFonts w:ascii="Times New Roman" w:eastAsia="Times New Roman" w:hAnsi="Times New Roman" w:cs="Times New Roman"/>
          <w:sz w:val="20"/>
          <w:szCs w:val="20"/>
          <w:lang w:eastAsia="pl-PL"/>
        </w:rPr>
        <w:t xml:space="preserve"> Wykonanie nasypów nad przepustami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5.3.3.6.</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5.3.3.5. </w:t>
      </w:r>
      <w:r w:rsidRPr="00B74F1D">
        <w:rPr>
          <w:rFonts w:ascii="Times New Roman" w:eastAsia="Times New Roman" w:hAnsi="Times New Roman" w:cs="Times New Roman"/>
          <w:sz w:val="20"/>
          <w:szCs w:val="20"/>
          <w:lang w:eastAsia="pl-PL"/>
        </w:rPr>
        <w:t>Wykonywanie nasypów na zboczach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Przy budowie nasypu na zboczu o pochyłości od 1:5 do 1:2 należy zabezpieczyć nasyp przed zsuwaniem się przez:</w:t>
      </w:r>
    </w:p>
    <w:p w:rsidR="00B74F1D" w:rsidRPr="00B74F1D" w:rsidRDefault="00B74F1D" w:rsidP="00B74F1D">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wycięcie w zboczu stopni wg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5.3.1.1,</w:t>
      </w:r>
    </w:p>
    <w:p w:rsidR="00B74F1D" w:rsidRPr="00B74F1D" w:rsidRDefault="00B74F1D" w:rsidP="00B74F1D">
      <w:pPr>
        <w:numPr>
          <w:ilvl w:val="0"/>
          <w:numId w:val="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wykonanie rowu stokowego powyżej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Przy pochyłościach zbocza większych niż 1:2 wskazane jest zabezpieczenie stateczności nasypu przez podparcie go murem oporowym.</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5.3.3.6. </w:t>
      </w:r>
      <w:r w:rsidRPr="00B74F1D">
        <w:rPr>
          <w:rFonts w:ascii="Times New Roman" w:eastAsia="Times New Roman" w:hAnsi="Times New Roman" w:cs="Times New Roman"/>
          <w:sz w:val="20"/>
          <w:szCs w:val="20"/>
          <w:lang w:eastAsia="pl-PL"/>
        </w:rPr>
        <w:t>Poszerzenie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Przy poszerzeniu istniejącego nasypu należy wykonywać w jego skarpie stopnie o szerokości do 1,0 m. Spadek górnej powierzchni stopni powinien wynosić 4% </w:t>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1% w kierunku zgodnym z pochyleniem skarpy.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Wycięcie stopni obowiązuje zawsze przy wykonywaniu styku dwóch przyległych części nasypu, wykonanych z gruntów o różnych właściwościach lub w różnym czasie.</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5.3.3.7. </w:t>
      </w:r>
      <w:r w:rsidRPr="00B74F1D">
        <w:rPr>
          <w:rFonts w:ascii="Times New Roman" w:eastAsia="Times New Roman" w:hAnsi="Times New Roman" w:cs="Times New Roman"/>
          <w:sz w:val="20"/>
          <w:szCs w:val="20"/>
          <w:lang w:eastAsia="pl-PL"/>
        </w:rPr>
        <w:t>Wykonywanie nasypów na bagnach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Nasypy na bagnach powinny być wykonane według oddzielnych wymagań, opartych na: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wynikach badań głębokości, typu i warunków hydrologicznych bagna,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wynikach badań próbek gruntu bagiennego z uwzględnieniem określenia rodzaju gruntu wypełniającego bagno, współczynników filtracji, badań </w:t>
      </w:r>
      <w:proofErr w:type="spellStart"/>
      <w:r w:rsidRPr="00B74F1D">
        <w:rPr>
          <w:rFonts w:ascii="Times New Roman" w:eastAsia="Times New Roman" w:hAnsi="Times New Roman" w:cs="Times New Roman"/>
          <w:sz w:val="20"/>
          <w:szCs w:val="20"/>
          <w:lang w:eastAsia="pl-PL"/>
        </w:rPr>
        <w:t>edometrycznych</w:t>
      </w:r>
      <w:proofErr w:type="spellEnd"/>
      <w:r w:rsidRPr="00B74F1D">
        <w:rPr>
          <w:rFonts w:ascii="Times New Roman" w:eastAsia="Times New Roman" w:hAnsi="Times New Roman" w:cs="Times New Roman"/>
          <w:sz w:val="20"/>
          <w:szCs w:val="20"/>
          <w:lang w:eastAsia="pl-PL"/>
        </w:rPr>
        <w:t>, wilgotności itp.,</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obliczeniach stateczności nasypu,</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obliczeniach wielkości i czasu osiadania,</w:t>
      </w:r>
    </w:p>
    <w:p w:rsidR="00B74F1D" w:rsidRPr="00B74F1D" w:rsidRDefault="00B74F1D" w:rsidP="00B74F1D">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uzasadnieniu ekonomicznym obranej metody budowy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czasie wznoszenia korpusu metodą warstwową obowiązują ogólne zasady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5.3.3.1.</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5.3.3.8. </w:t>
      </w:r>
      <w:r w:rsidRPr="00B74F1D">
        <w:rPr>
          <w:rFonts w:ascii="Times New Roman" w:eastAsia="Times New Roman" w:hAnsi="Times New Roman" w:cs="Times New Roman"/>
          <w:sz w:val="20"/>
          <w:szCs w:val="20"/>
          <w:lang w:eastAsia="pl-PL"/>
        </w:rPr>
        <w:t>Wykonywanie nasypów w okresie deszczów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Wykonywanie nasypów należy przerwać, jeżeli wilgotność gruntu przekracza wartość dopuszczalną, to znaczy jest większa od wilgotności optymalnej o więcej niż 10% jej wartości.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Na warstwie gruntu nadmiernie zawilgoconego nie wolno układać następnej warstwy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Osuszenie można przeprowadzić w sposób mechaniczny lub chemiczny, poprzez wymieszanie z wapnem palonym albo hydratyzowanym.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5.3.3.1, poz. d).</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W okresie deszczowym nie należy pozostawiać nie zagęszczonej warstwy do dnia następnego. Jeżeli warstwa gruntu niezagęszczonego uległa </w:t>
      </w:r>
      <w:proofErr w:type="spellStart"/>
      <w:r w:rsidRPr="00B74F1D">
        <w:rPr>
          <w:rFonts w:ascii="Times New Roman" w:eastAsia="Times New Roman" w:hAnsi="Times New Roman" w:cs="Times New Roman"/>
          <w:sz w:val="20"/>
          <w:szCs w:val="20"/>
          <w:lang w:eastAsia="pl-PL"/>
        </w:rPr>
        <w:t>przewilgoceniu</w:t>
      </w:r>
      <w:proofErr w:type="spellEnd"/>
      <w:r w:rsidRPr="00B74F1D">
        <w:rPr>
          <w:rFonts w:ascii="Times New Roman" w:eastAsia="Times New Roman" w:hAnsi="Times New Roman" w:cs="Times New Roman"/>
          <w:sz w:val="20"/>
          <w:szCs w:val="20"/>
          <w:lang w:eastAsia="pl-PL"/>
        </w:rPr>
        <w:t>, a Wykonawca nie jest w stanie osuszyć jej i zagęścić w czasie zaakceptowanym przez Inżyniera, to może on nakazać Wykonawcy usunięcie wadliwej warstwy.</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5.3.3.9.</w:t>
      </w:r>
      <w:r w:rsidRPr="00B74F1D">
        <w:rPr>
          <w:rFonts w:ascii="Times New Roman" w:eastAsia="Times New Roman" w:hAnsi="Times New Roman" w:cs="Times New Roman"/>
          <w:sz w:val="20"/>
          <w:szCs w:val="20"/>
          <w:lang w:eastAsia="pl-PL"/>
        </w:rPr>
        <w:t xml:space="preserve"> Wykonywanie nasypów w okresie mrozów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ab/>
        <w:t>Niedopuszczalne jest wykonywanie nasypów w temperaturze przy której nie jest możliwe osiągnięcie w nasypie wymaganego wskaźnika zagęszczenia gruntów.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Nie dopuszcza się wbudowania w nasyp gruntów zamarzniętych lub gruntów przemieszanych ze śniegiem lub lodem.</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czasie dużych opadów śniegu wykonywanie nasypów powinno być przerwane. Przed wznowieniem prac należy usunąć śnieg  z powierzchni wznoszonego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warstwa niezagęszczonego gruntu zamarzła, to nie należy jej przed rozmarznięciem zagęszczać ani układać na niej następnych warstw.</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 </w:t>
      </w:r>
      <w:r w:rsidRPr="00B74F1D">
        <w:rPr>
          <w:rFonts w:ascii="Times New Roman" w:eastAsia="Times New Roman" w:hAnsi="Times New Roman" w:cs="Times New Roman"/>
          <w:sz w:val="20"/>
          <w:szCs w:val="20"/>
          <w:lang w:eastAsia="pl-PL"/>
        </w:rPr>
        <w:t>Zagęszczenie gruntu</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5.3.4.1. </w:t>
      </w:r>
      <w:r w:rsidRPr="00B74F1D">
        <w:rPr>
          <w:rFonts w:ascii="Times New Roman" w:eastAsia="Times New Roman" w:hAnsi="Times New Roman" w:cs="Times New Roman"/>
          <w:sz w:val="20"/>
          <w:szCs w:val="20"/>
          <w:lang w:eastAsia="pl-PL"/>
        </w:rPr>
        <w:t>Ogólne zasady zagęszczania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Każda warstwa gruntu jak najszybciej po jej rozłożeniu, powinna być zagęszczona z zastosowaniem sprzętu odpowiedniego dla danego rodzaju gruntu oraz występujących warunków.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Rozłożone warstwy gruntu należy zagęszczać od krawędzi nasypu w kierunku jego osi.</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5.3.4.2. </w:t>
      </w:r>
      <w:r w:rsidRPr="00B74F1D">
        <w:rPr>
          <w:rFonts w:ascii="Times New Roman" w:eastAsia="Times New Roman" w:hAnsi="Times New Roman" w:cs="Times New Roman"/>
          <w:sz w:val="20"/>
          <w:szCs w:val="20"/>
          <w:lang w:eastAsia="pl-PL"/>
        </w:rPr>
        <w:t>Grubość warstwy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Grubość warstwy zagęszczonego gruntu oraz liczbę przejść maszyny zagęszczającej zaleca się określić doświadczalnie dla każdego rodzaju gruntu i typu maszyny, zgodnie z zasadami podanymi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Orientacyjne wartości, dotyczące grubości warstw różnych gruntów oraz liczby przejazdów różnych maszyn do zagęszczania podano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3.</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5.3.4.3. </w:t>
      </w:r>
      <w:r w:rsidRPr="00B74F1D">
        <w:rPr>
          <w:rFonts w:ascii="Times New Roman" w:eastAsia="Times New Roman" w:hAnsi="Times New Roman" w:cs="Times New Roman"/>
          <w:sz w:val="20"/>
          <w:szCs w:val="20"/>
          <w:lang w:eastAsia="pl-PL"/>
        </w:rPr>
        <w:t>Wilgotność gruntu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Wilgotność gruntu w czasie zagęszczania powinna być równa wilgotności optymalnej, z tolerancją:</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gruntach niespoistych</w:t>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tab/>
      </w:r>
      <w:r w:rsidRPr="00B74F1D">
        <w:rPr>
          <w:rFonts w:ascii="Times New Roman" w:eastAsia="Times New Roman" w:hAnsi="Times New Roman" w:cs="Times New Roman"/>
          <w:sz w:val="20"/>
          <w:szCs w:val="20"/>
          <w:lang w:eastAsia="pl-PL"/>
        </w:rPr>
        <w:sym w:font="Symbol" w:char="F0B1"/>
      </w:r>
      <w:r w:rsidRPr="00B74F1D">
        <w:rPr>
          <w:rFonts w:ascii="Times New Roman" w:eastAsia="Times New Roman" w:hAnsi="Times New Roman" w:cs="Times New Roman"/>
          <w:sz w:val="20"/>
          <w:szCs w:val="20"/>
          <w:lang w:eastAsia="pl-PL"/>
        </w:rPr>
        <w:t>2 %</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gruntach mało i średnio spoistych</w:t>
      </w:r>
      <w:r w:rsidRPr="00B74F1D">
        <w:rPr>
          <w:rFonts w:ascii="Times New Roman" w:eastAsia="Times New Roman" w:hAnsi="Times New Roman" w:cs="Times New Roman"/>
          <w:sz w:val="20"/>
          <w:szCs w:val="20"/>
          <w:lang w:eastAsia="pl-PL"/>
        </w:rPr>
        <w:tab/>
        <w:t xml:space="preserve">+0 %,  </w:t>
      </w:r>
      <w:r w:rsidRPr="00B74F1D">
        <w:rPr>
          <w:rFonts w:ascii="Times New Roman" w:eastAsia="Times New Roman" w:hAnsi="Times New Roman" w:cs="Times New Roman"/>
          <w:sz w:val="20"/>
          <w:szCs w:val="20"/>
          <w:lang w:eastAsia="pl-PL"/>
        </w:rPr>
        <w:sym w:font="Symbol" w:char="F02D"/>
      </w:r>
      <w:r w:rsidRPr="00B74F1D">
        <w:rPr>
          <w:rFonts w:ascii="Times New Roman" w:eastAsia="Times New Roman" w:hAnsi="Times New Roman" w:cs="Times New Roman"/>
          <w:sz w:val="20"/>
          <w:szCs w:val="20"/>
          <w:lang w:eastAsia="pl-PL"/>
        </w:rPr>
        <w:t>2 %</w:t>
      </w:r>
    </w:p>
    <w:p w:rsidR="00B74F1D" w:rsidRPr="00B74F1D" w:rsidRDefault="00B74F1D" w:rsidP="00B74F1D">
      <w:pPr>
        <w:numPr>
          <w:ilvl w:val="0"/>
          <w:numId w:val="8"/>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 mieszaninach popiołowo-żużlowych</w:t>
      </w:r>
      <w:r w:rsidRPr="00B74F1D">
        <w:rPr>
          <w:rFonts w:ascii="Times New Roman" w:eastAsia="Times New Roman" w:hAnsi="Times New Roman" w:cs="Times New Roman"/>
          <w:sz w:val="20"/>
          <w:szCs w:val="20"/>
          <w:lang w:eastAsia="pl-PL"/>
        </w:rPr>
        <w:tab/>
        <w:t xml:space="preserve">+2%,  </w:t>
      </w:r>
      <w:r w:rsidRPr="00B74F1D">
        <w:rPr>
          <w:rFonts w:ascii="Times New Roman" w:eastAsia="Times New Roman" w:hAnsi="Times New Roman" w:cs="Times New Roman"/>
          <w:sz w:val="20"/>
          <w:szCs w:val="20"/>
          <w:lang w:eastAsia="pl-PL"/>
        </w:rPr>
        <w:sym w:font="Symbol" w:char="F02D"/>
      </w:r>
      <w:r w:rsidRPr="00B74F1D">
        <w:rPr>
          <w:rFonts w:ascii="Times New Roman" w:eastAsia="Times New Roman" w:hAnsi="Times New Roman" w:cs="Times New Roman"/>
          <w:sz w:val="20"/>
          <w:szCs w:val="20"/>
          <w:lang w:eastAsia="pl-PL"/>
        </w:rPr>
        <w:t>4 %</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wilgotności gruntu należy przeprowadzać laboratoryjnie, z częstotliwością określoną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6.3.2 i 6.3.3.</w:t>
      </w:r>
    </w:p>
    <w:p w:rsidR="00B74F1D" w:rsidRPr="00B74F1D" w:rsidRDefault="00B74F1D" w:rsidP="00B74F1D">
      <w:pPr>
        <w:keepNext/>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5.3.4.4. </w:t>
      </w:r>
      <w:r w:rsidRPr="00B74F1D">
        <w:rPr>
          <w:rFonts w:ascii="Times New Roman" w:eastAsia="Times New Roman" w:hAnsi="Times New Roman" w:cs="Times New Roman"/>
          <w:sz w:val="20"/>
          <w:szCs w:val="20"/>
          <w:lang w:eastAsia="pl-PL"/>
        </w:rPr>
        <w:t>Wymagania dotyczące zagęszczania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 zależności od uziarnienia stosowanych materiałów, zagęszczenie warstwy należy określać za pomocą oznaczenia wskaźnika zagęszczenia lub porównania pierwotnego i wtórnego modułu odkształcenia.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według BN-77/8931-12 [9].</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Wskaźnik zagęszczenia gruntów w nasypach, określony według normy BN-77/8931-12 [9], powinien na całej szerokości korpusu spełniać wymagania podane w        tablicy 4.</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Tablica 4. Minimalne wartości wskaźnika zagęszczenia gruntu w nasypach</w:t>
      </w:r>
    </w:p>
    <w:tbl>
      <w:tblPr>
        <w:tblW w:w="0" w:type="auto"/>
        <w:tblLayout w:type="fixed"/>
        <w:tblCellMar>
          <w:left w:w="70" w:type="dxa"/>
          <w:right w:w="70" w:type="dxa"/>
        </w:tblCellMar>
        <w:tblLook w:val="0000" w:firstRow="0" w:lastRow="0" w:firstColumn="0" w:lastColumn="0" w:noHBand="0" w:noVBand="0"/>
      </w:tblPr>
      <w:tblGrid>
        <w:gridCol w:w="3756"/>
        <w:gridCol w:w="1242"/>
      </w:tblGrid>
      <w:tr w:rsidR="00122327" w:rsidRPr="00B74F1D" w:rsidTr="0061552B">
        <w:trPr>
          <w:gridAfter w:val="1"/>
          <w:wAfter w:w="1242" w:type="dxa"/>
        </w:trPr>
        <w:tc>
          <w:tcPr>
            <w:tcW w:w="3756" w:type="dxa"/>
            <w:tcBorders>
              <w:top w:val="single" w:sz="6" w:space="0" w:color="auto"/>
              <w:left w:val="single" w:sz="6" w:space="0" w:color="auto"/>
            </w:tcBorders>
          </w:tcPr>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tc>
      </w:tr>
      <w:tr w:rsidR="00122327" w:rsidRPr="00B74F1D" w:rsidTr="00156017">
        <w:trPr>
          <w:gridAfter w:val="1"/>
          <w:wAfter w:w="1242" w:type="dxa"/>
          <w:trHeight w:val="60"/>
        </w:trPr>
        <w:tc>
          <w:tcPr>
            <w:tcW w:w="3756" w:type="dxa"/>
            <w:tcBorders>
              <w:lef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Strefa</w:t>
            </w:r>
          </w:p>
        </w:tc>
      </w:tr>
      <w:tr w:rsidR="00122327" w:rsidRPr="00B74F1D" w:rsidTr="00122327">
        <w:tc>
          <w:tcPr>
            <w:tcW w:w="3756" w:type="dxa"/>
            <w:tcBorders>
              <w:left w:val="single" w:sz="6" w:space="0" w:color="auto"/>
              <w:bottom w:val="doub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nasypu</w:t>
            </w:r>
          </w:p>
        </w:tc>
        <w:tc>
          <w:tcPr>
            <w:tcW w:w="1242" w:type="dxa"/>
            <w:tcBorders>
              <w:top w:val="single" w:sz="6" w:space="0" w:color="auto"/>
              <w:left w:val="single" w:sz="6" w:space="0" w:color="auto"/>
              <w:bottom w:val="double" w:sz="6" w:space="0" w:color="auto"/>
              <w:right w:val="single" w:sz="6" w:space="0" w:color="auto"/>
            </w:tcBorders>
          </w:tcPr>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kategoria ruchu</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KR1-KR2</w:t>
            </w:r>
          </w:p>
        </w:tc>
      </w:tr>
      <w:tr w:rsidR="00122327" w:rsidRPr="00B74F1D" w:rsidTr="00122327">
        <w:tc>
          <w:tcPr>
            <w:tcW w:w="3756"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Górna warstwa o grubości 20 cm</w:t>
            </w:r>
          </w:p>
        </w:tc>
        <w:tc>
          <w:tcPr>
            <w:tcW w:w="1242" w:type="dxa"/>
            <w:tcBorders>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1,00</w:t>
            </w:r>
          </w:p>
        </w:tc>
      </w:tr>
      <w:tr w:rsidR="00122327" w:rsidRPr="00B74F1D" w:rsidTr="00122327">
        <w:tc>
          <w:tcPr>
            <w:tcW w:w="375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Niżej leżące warstwy nasypu do głębokości</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 powierzchni robót ziemnych:</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- 0,2 do 2,0 m (autostrady)</w:t>
            </w:r>
          </w:p>
          <w:p w:rsidR="00122327" w:rsidRPr="00B74F1D"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- 0,2 do 1,2 m (inne drogi)</w:t>
            </w:r>
          </w:p>
        </w:tc>
        <w:tc>
          <w:tcPr>
            <w:tcW w:w="1242"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0,97</w:t>
            </w:r>
          </w:p>
        </w:tc>
      </w:tr>
      <w:tr w:rsidR="00122327" w:rsidRPr="00B74F1D" w:rsidTr="00122327">
        <w:tc>
          <w:tcPr>
            <w:tcW w:w="3756"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Warstwy nasypu na głębokości od powierz-</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roofErr w:type="spellStart"/>
            <w:r w:rsidRPr="00B74F1D">
              <w:rPr>
                <w:rFonts w:ascii="Times New Roman" w:eastAsia="Times New Roman" w:hAnsi="Times New Roman" w:cs="Times New Roman"/>
                <w:sz w:val="20"/>
                <w:szCs w:val="20"/>
                <w:lang w:eastAsia="pl-PL"/>
              </w:rPr>
              <w:t>chni</w:t>
            </w:r>
            <w:proofErr w:type="spellEnd"/>
            <w:r w:rsidRPr="00B74F1D">
              <w:rPr>
                <w:rFonts w:ascii="Times New Roman" w:eastAsia="Times New Roman" w:hAnsi="Times New Roman" w:cs="Times New Roman"/>
                <w:sz w:val="20"/>
                <w:szCs w:val="20"/>
                <w:lang w:eastAsia="pl-PL"/>
              </w:rPr>
              <w:t xml:space="preserve"> robót ziemnych poniżej:</w:t>
            </w:r>
          </w:p>
          <w:p w:rsidR="00122327" w:rsidRPr="00B74F1D" w:rsidRDefault="00122327"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- 2,0 m (autostrady)</w:t>
            </w:r>
          </w:p>
          <w:p w:rsidR="00122327" w:rsidRPr="00B74F1D" w:rsidRDefault="00122327"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- 1,2 m (inne drogi)</w:t>
            </w:r>
          </w:p>
        </w:tc>
        <w:tc>
          <w:tcPr>
            <w:tcW w:w="1242" w:type="dxa"/>
            <w:tcBorders>
              <w:top w:val="single" w:sz="6" w:space="0" w:color="auto"/>
              <w:left w:val="single" w:sz="6" w:space="0" w:color="auto"/>
              <w:bottom w:val="single" w:sz="6" w:space="0" w:color="auto"/>
              <w:right w:val="single" w:sz="6" w:space="0" w:color="auto"/>
            </w:tcBorders>
          </w:tcPr>
          <w:p w:rsidR="00122327" w:rsidRPr="00B74F1D" w:rsidRDefault="00122327" w:rsidP="00B74F1D">
            <w:pPr>
              <w:overflowPunct w:val="0"/>
              <w:autoSpaceDE w:val="0"/>
              <w:autoSpaceDN w:val="0"/>
              <w:adjustRightInd w:val="0"/>
              <w:spacing w:before="120"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t>
            </w:r>
          </w:p>
          <w:p w:rsidR="00122327" w:rsidRPr="00B74F1D" w:rsidRDefault="00122327" w:rsidP="00B74F1D">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0,95</w:t>
            </w:r>
          </w:p>
        </w:tc>
      </w:tr>
    </w:tbl>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ab/>
        <w:t>Jako zastępcze kryterium oceny wymaganego zagęszczenia gruntów dla których trudne jest pomierzenie wskaźnika zagęszczenia, przyjmuje się wartość wskaźnika odkształcenia I</w:t>
      </w:r>
      <w:r w:rsidRPr="00B74F1D">
        <w:rPr>
          <w:rFonts w:ascii="Times New Roman" w:eastAsia="Times New Roman" w:hAnsi="Times New Roman" w:cs="Times New Roman"/>
          <w:sz w:val="20"/>
          <w:szCs w:val="20"/>
          <w:vertAlign w:val="subscript"/>
          <w:lang w:eastAsia="pl-PL"/>
        </w:rPr>
        <w:t>0</w:t>
      </w:r>
      <w:r w:rsidRPr="00B74F1D">
        <w:rPr>
          <w:rFonts w:ascii="Times New Roman" w:eastAsia="Times New Roman" w:hAnsi="Times New Roman" w:cs="Times New Roman"/>
          <w:sz w:val="20"/>
          <w:szCs w:val="20"/>
          <w:lang w:eastAsia="pl-PL"/>
        </w:rPr>
        <w:t xml:space="preserve"> określonego zgodnie z normą PN-S-02205:1998 [4].</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Wskaźnik odkształcenia nie powinien być większy niż:</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żwirów, pospółek i piasków</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2,2 przy wymaganej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vertAlign w:val="subscript"/>
          <w:lang w:eastAsia="pl-PL"/>
        </w:rPr>
        <w:t xml:space="preserve"> </w:t>
      </w:r>
      <w:r w:rsidRPr="00B74F1D">
        <w:rPr>
          <w:rFonts w:ascii="Times New Roman" w:eastAsia="Times New Roman" w:hAnsi="Times New Roman" w:cs="Times New Roman"/>
          <w:sz w:val="20"/>
          <w:szCs w:val="20"/>
          <w:lang w:eastAsia="pl-PL"/>
        </w:rPr>
        <w:sym w:font="Symbol" w:char="F0B3"/>
      </w:r>
      <w:r w:rsidRPr="00B74F1D">
        <w:rPr>
          <w:rFonts w:ascii="Times New Roman" w:eastAsia="Times New Roman" w:hAnsi="Times New Roman" w:cs="Times New Roman"/>
          <w:sz w:val="20"/>
          <w:szCs w:val="20"/>
          <w:lang w:eastAsia="pl-PL"/>
        </w:rPr>
        <w:t>1,0,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2,5 przy wymaganej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vertAlign w:val="subscript"/>
          <w:lang w:eastAsia="pl-PL"/>
        </w:rPr>
        <w:t xml:space="preserve"> </w:t>
      </w:r>
      <w:r w:rsidRPr="00B74F1D">
        <w:rPr>
          <w:rFonts w:ascii="Times New Roman" w:eastAsia="Times New Roman" w:hAnsi="Times New Roman" w:cs="Times New Roman"/>
          <w:sz w:val="20"/>
          <w:szCs w:val="20"/>
          <w:lang w:eastAsia="pl-PL"/>
        </w:rPr>
        <w:sym w:font="Symbol" w:char="F03C"/>
      </w:r>
      <w:r w:rsidRPr="00B74F1D">
        <w:rPr>
          <w:rFonts w:ascii="Times New Roman" w:eastAsia="Times New Roman" w:hAnsi="Times New Roman" w:cs="Times New Roman"/>
          <w:sz w:val="20"/>
          <w:szCs w:val="20"/>
          <w:lang w:eastAsia="pl-PL"/>
        </w:rPr>
        <w:t>1,0,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drobnoziarnistych o równomiernym uziarnieniu (pyłów, glin pylastych, glin zwięzłych, iłów – 2,0,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różnoziarnistych (żwirów gliniastych, pospółek gliniastych, pyłów piaszczystych, piasków gliniastych, glin piaszczystych, glin piaszczystych zwięzłych) – 3,0,</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narzutów kamiennych, rumoszy – 4,</w:t>
      </w:r>
    </w:p>
    <w:p w:rsidR="00B74F1D" w:rsidRPr="00B74F1D" w:rsidRDefault="00B74F1D" w:rsidP="00B74F1D">
      <w:pPr>
        <w:numPr>
          <w:ilvl w:val="0"/>
          <w:numId w:val="9"/>
        </w:numPr>
        <w:tabs>
          <w:tab w:val="left" w:pos="720"/>
        </w:tabs>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dla gruntów antropogenicznych – na podstawie badań poligonowych.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5.3.4.5. </w:t>
      </w:r>
      <w:r w:rsidRPr="00B74F1D">
        <w:rPr>
          <w:rFonts w:ascii="Times New Roman" w:eastAsia="Times New Roman" w:hAnsi="Times New Roman" w:cs="Times New Roman"/>
          <w:sz w:val="20"/>
          <w:szCs w:val="20"/>
          <w:lang w:eastAsia="pl-PL"/>
        </w:rPr>
        <w:t>Próbne zagęszczenie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Odcinek doświadczalny dla próbnego zagęszczenia gruntu o minimalnej powierzchni 300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powinien być wykonane na terenie oczyszczonym z gleby, na którym układa się grunt czterema pasmami o szerokości od 3,5</w:t>
      </w:r>
      <w:r w:rsidRPr="00B74F1D">
        <w:rPr>
          <w:rFonts w:ascii="Times New Roman" w:eastAsia="Times New Roman" w:hAnsi="Times New Roman" w:cs="Times New Roman"/>
          <w:b/>
          <w:sz w:val="20"/>
          <w:szCs w:val="20"/>
          <w:lang w:eastAsia="pl-PL"/>
        </w:rPr>
        <w:t xml:space="preserve"> </w:t>
      </w:r>
      <w:r w:rsidRPr="00B74F1D">
        <w:rPr>
          <w:rFonts w:ascii="Times New Roman" w:eastAsia="Times New Roman" w:hAnsi="Times New Roman" w:cs="Times New Roman"/>
          <w:sz w:val="20"/>
          <w:szCs w:val="20"/>
          <w:lang w:eastAsia="pl-PL"/>
        </w:rPr>
        <w:t>do</w:t>
      </w:r>
      <w:r w:rsidRPr="00B74F1D">
        <w:rPr>
          <w:rFonts w:ascii="Times New Roman" w:eastAsia="Times New Roman" w:hAnsi="Times New Roman" w:cs="Times New Roman"/>
          <w:b/>
          <w:sz w:val="20"/>
          <w:szCs w:val="20"/>
          <w:lang w:eastAsia="pl-PL"/>
        </w:rPr>
        <w:t xml:space="preserve"> </w:t>
      </w:r>
      <w:r w:rsidRPr="00B74F1D">
        <w:rPr>
          <w:rFonts w:ascii="Times New Roman" w:eastAsia="Times New Roman" w:hAnsi="Times New Roman" w:cs="Times New Roman"/>
          <w:sz w:val="20"/>
          <w:szCs w:val="20"/>
          <w:lang w:eastAsia="pl-PL"/>
        </w:rP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rsidRPr="00B74F1D">
        <w:rPr>
          <w:rFonts w:ascii="Times New Roman" w:eastAsia="Times New Roman" w:hAnsi="Times New Roman" w:cs="Times New Roman"/>
          <w:sz w:val="20"/>
          <w:szCs w:val="20"/>
          <w:lang w:eastAsia="pl-PL"/>
        </w:rPr>
        <w:t>ugięciomierz</w:t>
      </w:r>
      <w:proofErr w:type="spellEnd"/>
      <w:r w:rsidRPr="00B74F1D">
        <w:rPr>
          <w:rFonts w:ascii="Times New Roman" w:eastAsia="Times New Roman" w:hAnsi="Times New Roman" w:cs="Times New Roman"/>
          <w:sz w:val="20"/>
          <w:szCs w:val="20"/>
          <w:lang w:eastAsia="pl-PL"/>
        </w:rPr>
        <w:t xml:space="preserve"> udarowy po ich skalibrowaniu w warunkach terenowych).</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5.3.4.4 dokonuje się wyboru sprzętu i ustala się potrzebną liczbę przejść oraz grubość warstwy rozkładanego gruntu.</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9" w:name="_Toc406295865"/>
      <w:bookmarkStart w:id="70" w:name="_Toc407161285"/>
      <w:r w:rsidRPr="00B74F1D">
        <w:rPr>
          <w:rFonts w:ascii="Times New Roman" w:eastAsia="Times New Roman" w:hAnsi="Times New Roman" w:cs="Times New Roman"/>
          <w:b/>
          <w:sz w:val="20"/>
          <w:szCs w:val="20"/>
          <w:lang w:eastAsia="pl-PL"/>
        </w:rPr>
        <w:t>5.4. Odkłady</w:t>
      </w:r>
      <w:bookmarkEnd w:id="69"/>
      <w:bookmarkEnd w:id="70"/>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5.4.1. </w:t>
      </w:r>
      <w:r w:rsidRPr="00B74F1D">
        <w:rPr>
          <w:rFonts w:ascii="Times New Roman" w:eastAsia="Times New Roman" w:hAnsi="Times New Roman" w:cs="Times New Roman"/>
          <w:sz w:val="20"/>
          <w:szCs w:val="20"/>
          <w:lang w:eastAsia="pl-PL"/>
        </w:rPr>
        <w:t>Warunki ogólne wykonania odkładów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Roboty omówione w tym punkcie dotyczą postępowania z gruntami lub innymi materiałami, które zostały pozyskane w czasie wykonywania wykopów, a które nie będą wykorzystane do budowy nasypów oraz innych prac związanych z trasą drogową.</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Grunty lub inne materiały powinny być przewiezione na odkład, jeżeli:</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stanowią nadmiar objętości w stosunku do objętości gruntów przewidzianych do wbudowania,</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są nieprzydatne do budowy nasypów oraz wykorzystania w innych pracach, związanych z budową trasy drogowej,</w:t>
      </w:r>
    </w:p>
    <w:p w:rsidR="00B74F1D" w:rsidRPr="00B74F1D" w:rsidRDefault="00B74F1D" w:rsidP="00B74F1D">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ze względu na harmonogram robót nie jest ekonomicznie uzasadnione oczekiwanie na wbudowanie materiałów pozyskiwanych z wykopu.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Wykonawca może przyjąć, że zachodzi jeden z podanych wyżej przypadków tylko wówczas, gdy zostało to jednoznacznie określone w dokumentacji projektowej, harmonogramie robót lub przez Inżyniera.</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5.4.2. </w:t>
      </w:r>
      <w:r w:rsidRPr="00B74F1D">
        <w:rPr>
          <w:rFonts w:ascii="Times New Roman" w:eastAsia="Times New Roman" w:hAnsi="Times New Roman" w:cs="Times New Roman"/>
          <w:sz w:val="20"/>
          <w:szCs w:val="20"/>
          <w:lang w:eastAsia="pl-PL"/>
        </w:rPr>
        <w:t>Lokalizacja odkładu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nie przewidziano zagospodarowania nadmiaru objętości w sposób określony powyżej, materiały te należy przewieźć na odkład.</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Jeżeli odkłady są zlokalizowane wzdłuż odcinka trasy przebiegającego w wykopie, to:</w:t>
      </w:r>
    </w:p>
    <w:p w:rsidR="00B74F1D" w:rsidRPr="00B74F1D" w:rsidRDefault="00B74F1D" w:rsidP="00B74F1D">
      <w:pPr>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odkłady można wykonać z obu stron wykopu, jeżeli pochylenie poprzeczne terenu jest niewielkie, przy czym odległość podnóża skarpy odkładu od górnej krawędzi wykopu powinna wynosić:</w:t>
      </w:r>
    </w:p>
    <w:p w:rsidR="00B74F1D" w:rsidRPr="00B74F1D" w:rsidRDefault="00B74F1D" w:rsidP="00B74F1D">
      <w:pPr>
        <w:numPr>
          <w:ilvl w:val="0"/>
          <w:numId w:val="1"/>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nie mniej niż 3 m w gruntach przepuszczalnych,</w:t>
      </w:r>
    </w:p>
    <w:p w:rsidR="00B74F1D" w:rsidRPr="00B74F1D" w:rsidRDefault="00B74F1D" w:rsidP="00B74F1D">
      <w:pPr>
        <w:numPr>
          <w:ilvl w:val="0"/>
          <w:numId w:val="1"/>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nie mniej niż 5 m w gruntach nieprzepuszczalnych,</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przy znacznym pochyleniu poprzecznym terenu, jednak mniejszym od 20%, odkład należy wykonać tylko od górnej strony wykopu, dla ochrony od wody stokowej,</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przy pochyleniu poprzecznym terenu wynoszącym ponad 20%, odkład należy zlokalizować poniżej wykopu,</w:t>
      </w:r>
    </w:p>
    <w:p w:rsidR="00B74F1D" w:rsidRPr="00B74F1D" w:rsidRDefault="00B74F1D" w:rsidP="00B74F1D">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na odcinkach zagrożonych przez zasypywanie drogi śniegiem, odkład należy wykonać od strony najczęściej wiejących wiatrów, w odległości ponad 20 m od krawędzi wykopu.</w:t>
      </w:r>
    </w:p>
    <w:p w:rsidR="00B74F1D" w:rsidRPr="00B74F1D" w:rsidRDefault="00B74F1D" w:rsidP="00B74F1D">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Jeśli odkład zostanie wykonany w nie uzgodnionym miejscu lub niezgodnie z wymaganiami, to zostanie on usunięty przez Wykonawcę na jego koszt, według wskazań Inżyniera.</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Konsekwencje finansowe i prawne, wynikające z ewentualnych uszkodzeń środowiska naturalnego wskutek prowadzenia prac w nie uzgodnionym do tego miejscu, obciążają Wykonawcę.</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5.4.3. </w:t>
      </w:r>
      <w:r w:rsidRPr="00B74F1D">
        <w:rPr>
          <w:rFonts w:ascii="Times New Roman" w:eastAsia="Times New Roman" w:hAnsi="Times New Roman" w:cs="Times New Roman"/>
          <w:sz w:val="20"/>
          <w:szCs w:val="20"/>
          <w:lang w:eastAsia="pl-PL"/>
        </w:rPr>
        <w:t>Zasady wykonania odkładów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Odkłady powinny być tak ukształtowane, aby harmonizowały z otaczającym terenem. Powierzchnie odkładów powinny być obsiane trawą, obsadzone krzewami lub drzewami albo przeznaczone na użytki rolne lub leśne, zgodnie z dokumentacją projektową.</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Przed przewiezieniem gruntu na odkład Wykonawca powinien upewnić się, że spełnione są warunki określone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5.4.1. Jeżeli wskutek pochopnego przewiezienia gruntu na odkład przez Wykonawcę, zajdzie konieczność dowiezienia gruntu do wykonania nasypów z ukopu, to koszt tych czynności w całości obciąża Wykonawcę.</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1" w:name="_Toc406295866"/>
      <w:bookmarkStart w:id="72" w:name="_Toc407161286"/>
      <w:bookmarkStart w:id="73" w:name="_Toc418994950"/>
      <w:bookmarkStart w:id="74" w:name="_Toc418996357"/>
      <w:bookmarkStart w:id="75" w:name="_Toc418996726"/>
      <w:bookmarkStart w:id="76" w:name="_Toc418997113"/>
      <w:bookmarkStart w:id="77" w:name="_Toc418998523"/>
      <w:bookmarkStart w:id="78" w:name="_Toc418998879"/>
      <w:bookmarkStart w:id="79" w:name="_Toc419000124"/>
      <w:r w:rsidRPr="00B74F1D">
        <w:rPr>
          <w:rFonts w:ascii="Times New Roman" w:eastAsia="Times New Roman" w:hAnsi="Times New Roman" w:cs="Times New Roman"/>
          <w:b/>
          <w:caps/>
          <w:kern w:val="28"/>
          <w:sz w:val="20"/>
          <w:szCs w:val="20"/>
          <w:lang w:eastAsia="pl-PL"/>
        </w:rPr>
        <w:t>6. kontrola jakości robót</w:t>
      </w:r>
      <w:bookmarkEnd w:id="71"/>
      <w:bookmarkEnd w:id="72"/>
      <w:bookmarkEnd w:id="73"/>
      <w:bookmarkEnd w:id="74"/>
      <w:bookmarkEnd w:id="75"/>
      <w:bookmarkEnd w:id="76"/>
      <w:bookmarkEnd w:id="77"/>
      <w:bookmarkEnd w:id="78"/>
      <w:bookmarkEnd w:id="79"/>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0" w:name="_Toc406295867"/>
      <w:bookmarkStart w:id="81" w:name="_Toc407161287"/>
      <w:r w:rsidRPr="00B74F1D">
        <w:rPr>
          <w:rFonts w:ascii="Times New Roman" w:eastAsia="Times New Roman" w:hAnsi="Times New Roman" w:cs="Times New Roman"/>
          <w:b/>
          <w:sz w:val="20"/>
          <w:szCs w:val="20"/>
          <w:lang w:eastAsia="pl-PL"/>
        </w:rPr>
        <w:t>6.1. Ogólne zasady kontroli jakości robót</w:t>
      </w:r>
      <w:bookmarkEnd w:id="80"/>
      <w:bookmarkEnd w:id="81"/>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kontroli jakości robót podano w OST D-02.00.01 pkt 6.</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2" w:name="_Toc406295868"/>
      <w:bookmarkStart w:id="83" w:name="_Toc407161288"/>
      <w:r w:rsidRPr="00B74F1D">
        <w:rPr>
          <w:rFonts w:ascii="Times New Roman" w:eastAsia="Times New Roman" w:hAnsi="Times New Roman" w:cs="Times New Roman"/>
          <w:b/>
          <w:sz w:val="20"/>
          <w:szCs w:val="20"/>
          <w:lang w:eastAsia="pl-PL"/>
        </w:rPr>
        <w:t xml:space="preserve">6.2. Sprawdzenie wykonania ukopu i </w:t>
      </w:r>
      <w:proofErr w:type="spellStart"/>
      <w:r w:rsidRPr="00B74F1D">
        <w:rPr>
          <w:rFonts w:ascii="Times New Roman" w:eastAsia="Times New Roman" w:hAnsi="Times New Roman" w:cs="Times New Roman"/>
          <w:b/>
          <w:sz w:val="20"/>
          <w:szCs w:val="20"/>
          <w:lang w:eastAsia="pl-PL"/>
        </w:rPr>
        <w:t>dokopu</w:t>
      </w:r>
      <w:bookmarkEnd w:id="82"/>
      <w:bookmarkEnd w:id="83"/>
      <w:proofErr w:type="spellEnd"/>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wykonania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polega na kontrolowaniu zgodności z wymaganiami określonymi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5.2 niniejszej specyfikacji oraz w dokumentacji projektowej i SST. W czasie kontroli należy zwrócić szczególną uwagę na sprawdzenie:</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zgodności rodzaju gruntu z określonym w dokumentacji projektowej i SST,</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zachowania kształtu zboczy, zapewniającego ich stateczność,</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odwodnienia,</w:t>
      </w:r>
    </w:p>
    <w:p w:rsidR="00B74F1D" w:rsidRPr="00B74F1D" w:rsidRDefault="00B74F1D" w:rsidP="00B74F1D">
      <w:pPr>
        <w:numPr>
          <w:ilvl w:val="0"/>
          <w:numId w:val="1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zagospodarowania (rekultywacji) terenu po zakończeniu eksploatacji ukopu.</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4" w:name="_Toc406295869"/>
      <w:bookmarkStart w:id="85" w:name="_Toc407161289"/>
      <w:r w:rsidRPr="00B74F1D">
        <w:rPr>
          <w:rFonts w:ascii="Times New Roman" w:eastAsia="Times New Roman" w:hAnsi="Times New Roman" w:cs="Times New Roman"/>
          <w:b/>
          <w:sz w:val="20"/>
          <w:szCs w:val="20"/>
          <w:lang w:eastAsia="pl-PL"/>
        </w:rPr>
        <w:t>6.3. Sprawdzenie jakości wykonania nasypów</w:t>
      </w:r>
      <w:bookmarkEnd w:id="84"/>
      <w:bookmarkEnd w:id="85"/>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6.3.1. </w:t>
      </w:r>
      <w:r w:rsidRPr="00B74F1D">
        <w:rPr>
          <w:rFonts w:ascii="Times New Roman" w:eastAsia="Times New Roman" w:hAnsi="Times New Roman" w:cs="Times New Roman"/>
          <w:sz w:val="20"/>
          <w:szCs w:val="20"/>
          <w:lang w:eastAsia="pl-PL"/>
        </w:rPr>
        <w:t>Rodzaje badań i pomiarów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jakości wykonania nasypów polega na kontrolowaniu zgodności z wymaganiami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2,3 oraz 5.3 niniejszej specyfikacji, w dokumentacji projektowej i SST.</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Szczególną uwagę należy zwrócić na:</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przydatności gruntów do budowy nasypów,</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prawidłowości wykonania poszczególnych warstw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badania zagęszczenia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pomiary kształtu nasypu.</w:t>
      </w:r>
    </w:p>
    <w:p w:rsidR="00B74F1D" w:rsidRPr="00B74F1D" w:rsidRDefault="00B74F1D" w:rsidP="00B74F1D">
      <w:pPr>
        <w:numPr>
          <w:ilvl w:val="0"/>
          <w:numId w:val="1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odwodnienie nasypu</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6.3.2. </w:t>
      </w:r>
      <w:r w:rsidRPr="00B74F1D">
        <w:rPr>
          <w:rFonts w:ascii="Times New Roman" w:eastAsia="Times New Roman" w:hAnsi="Times New Roman" w:cs="Times New Roman"/>
          <w:sz w:val="20"/>
          <w:szCs w:val="20"/>
          <w:lang w:eastAsia="pl-PL"/>
        </w:rPr>
        <w:t>Badania przydatności gruntów do budowy nasypów</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Badania przydatności gruntów do budowy nasypu powinny być przeprowadzone na próbkach pobranych z każdej partii przeznaczonej do wbudowania w korpus ziemny, pochodzącej z nowego źródła, jednak nie rzadziej niż jeden raz na 3000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W każdym badaniu należy określić następujące właściwości:</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skład granulometryczny, wg PN-B-04481 :1988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lastRenderedPageBreak/>
        <w:t>zawartość części organicznych,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wilgotność naturalną,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wilgotność optymalną i maksymalną gęstość objętościową szkieletu gruntowego,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granicę płynności, wg PN-B-04481:1988 [1],</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kapilarność bierną, wg PN-B-04493:1960 [3],</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wskaźnik piaskowy, wg BN-64/8931-01 [7].</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6.3.3. </w:t>
      </w:r>
      <w:r w:rsidRPr="00B74F1D">
        <w:rPr>
          <w:rFonts w:ascii="Times New Roman" w:eastAsia="Times New Roman" w:hAnsi="Times New Roman" w:cs="Times New Roman"/>
          <w:sz w:val="20"/>
          <w:szCs w:val="20"/>
          <w:lang w:eastAsia="pl-PL"/>
        </w:rPr>
        <w:t>Badania kontrolne prawidłowości wykonania poszczególnych warstw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Badania kontrolne prawidłowości wykonania poszczególnych warstw nasypu polegają na sprawdzeniu:</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prawidłowości rozmieszczenia gruntów o różnych właściwościach w nasypie,</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odwodnienia każdej warstwy,</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grubości każdej warstwy i jej wilgotności przy zagęszczaniu; badania należy przeprowadzić nie rzadziej niż jeden raz na 500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nadania spadków warstwom z gruntów spoistych według </w:t>
      </w:r>
      <w:proofErr w:type="spellStart"/>
      <w:r w:rsidRPr="00B74F1D">
        <w:rPr>
          <w:rFonts w:ascii="Times New Roman" w:eastAsia="Times New Roman" w:hAnsi="Times New Roman" w:cs="Times New Roman"/>
          <w:sz w:val="20"/>
          <w:szCs w:val="20"/>
          <w:lang w:eastAsia="pl-PL"/>
        </w:rPr>
        <w:t>pktu</w:t>
      </w:r>
      <w:proofErr w:type="spellEnd"/>
      <w:r w:rsidRPr="00B74F1D">
        <w:rPr>
          <w:rFonts w:ascii="Times New Roman" w:eastAsia="Times New Roman" w:hAnsi="Times New Roman" w:cs="Times New Roman"/>
          <w:sz w:val="20"/>
          <w:szCs w:val="20"/>
          <w:lang w:eastAsia="pl-PL"/>
        </w:rPr>
        <w:t xml:space="preserve"> 5.3.3.1 poz. d),</w:t>
      </w:r>
    </w:p>
    <w:p w:rsidR="00B74F1D" w:rsidRPr="00B74F1D" w:rsidRDefault="00B74F1D" w:rsidP="00B74F1D">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przestrzegania ograniczeń określonych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5.3.3.8 i 5.3.3.9, dotyczących wbudowania gruntów w okresie deszczów i mrozów.</w:t>
      </w:r>
    </w:p>
    <w:p w:rsidR="00B74F1D" w:rsidRPr="00B74F1D" w:rsidRDefault="00B74F1D" w:rsidP="00B74F1D">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6.3.4. </w:t>
      </w:r>
      <w:r w:rsidRPr="00B74F1D">
        <w:rPr>
          <w:rFonts w:ascii="Times New Roman" w:eastAsia="Times New Roman" w:hAnsi="Times New Roman" w:cs="Times New Roman"/>
          <w:sz w:val="20"/>
          <w:szCs w:val="20"/>
          <w:lang w:eastAsia="pl-PL"/>
        </w:rPr>
        <w:t>Sprawdzenie zagęszczenia nasypu oraz podłoża nasypu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zagęszczenia nasypu oraz podłoża nasypu polega na skontrolowaniu zgodności wartości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lub stosunku modułów odkształcenia z wartościami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5.3.1.2 i 5.3.4.4. Do bieżącej kontroli zagęszczenia dopuszcza się aparaty izotopowe.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Oznaczenie wskaźnika zagęszczenia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 xml:space="preserve"> powinno być przeprowadzone według normy BN-77/8931-12 [9], oznaczenie modułów odkształcenia według normy PN-S-02205:1998 [4].</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Zagęszczenie każdej warstwy należy kontrolować nie rzadziej niż:</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jeden raz w trzech punktach na 1000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 w przypadku określenia wartości </w:t>
      </w:r>
      <w:proofErr w:type="spellStart"/>
      <w:r w:rsidRPr="00B74F1D">
        <w:rPr>
          <w:rFonts w:ascii="Times New Roman" w:eastAsia="Times New Roman" w:hAnsi="Times New Roman" w:cs="Times New Roman"/>
          <w:sz w:val="20"/>
          <w:szCs w:val="20"/>
          <w:lang w:eastAsia="pl-PL"/>
        </w:rPr>
        <w:t>I</w:t>
      </w:r>
      <w:r w:rsidRPr="00B74F1D">
        <w:rPr>
          <w:rFonts w:ascii="Times New Roman" w:eastAsia="Times New Roman" w:hAnsi="Times New Roman" w:cs="Times New Roman"/>
          <w:sz w:val="20"/>
          <w:szCs w:val="20"/>
          <w:vertAlign w:val="subscript"/>
          <w:lang w:eastAsia="pl-PL"/>
        </w:rPr>
        <w:t>s</w:t>
      </w:r>
      <w:proofErr w:type="spellEnd"/>
      <w:r w:rsidRPr="00B74F1D">
        <w:rPr>
          <w:rFonts w:ascii="Times New Roman" w:eastAsia="Times New Roman" w:hAnsi="Times New Roman" w:cs="Times New Roman"/>
          <w:sz w:val="20"/>
          <w:szCs w:val="20"/>
          <w:lang w:eastAsia="pl-PL"/>
        </w:rPr>
        <w: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jeden raz w trzech punktach na 2000 m</w:t>
      </w:r>
      <w:r w:rsidRPr="00B74F1D">
        <w:rPr>
          <w:rFonts w:ascii="Times New Roman" w:eastAsia="Times New Roman" w:hAnsi="Times New Roman" w:cs="Times New Roman"/>
          <w:sz w:val="20"/>
          <w:szCs w:val="20"/>
          <w:vertAlign w:val="superscript"/>
          <w:lang w:eastAsia="pl-PL"/>
        </w:rPr>
        <w:t>2</w:t>
      </w:r>
      <w:r w:rsidRPr="00B74F1D">
        <w:rPr>
          <w:rFonts w:ascii="Times New Roman" w:eastAsia="Times New Roman" w:hAnsi="Times New Roman" w:cs="Times New Roman"/>
          <w:sz w:val="20"/>
          <w:szCs w:val="20"/>
          <w:lang w:eastAsia="pl-PL"/>
        </w:rPr>
        <w:t xml:space="preserve"> warstwy w przypadku </w:t>
      </w:r>
      <w:r w:rsidR="002A4375">
        <w:rPr>
          <w:rFonts w:ascii="Times New Roman" w:eastAsia="Times New Roman" w:hAnsi="Times New Roman" w:cs="Times New Roman"/>
          <w:sz w:val="20"/>
          <w:szCs w:val="20"/>
          <w:lang w:eastAsia="pl-PL"/>
        </w:rPr>
        <w:t xml:space="preserve">określenia pierwotnego </w:t>
      </w:r>
      <w:r w:rsidRPr="00B74F1D">
        <w:rPr>
          <w:rFonts w:ascii="Times New Roman" w:eastAsia="Times New Roman" w:hAnsi="Times New Roman" w:cs="Times New Roman"/>
          <w:sz w:val="20"/>
          <w:szCs w:val="20"/>
          <w:lang w:eastAsia="pl-PL"/>
        </w:rPr>
        <w:t xml:space="preserve">  i wtórnego modułu odkształcenia.</w:t>
      </w:r>
    </w:p>
    <w:p w:rsidR="00B74F1D" w:rsidRPr="00B74F1D" w:rsidRDefault="00B74F1D" w:rsidP="00B74F1D">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Wyniki kontroli zagęszczenia robót Wykonawca powinien wpisywać do dokumentów laboratoryjnych. Prawidłowość zagęszczenia konkretnej warstwy nasypu lub podłoża pod nasypem powinna być potwierdzona przez Inżyniera wpisem w dzienniku budowy.</w:t>
      </w:r>
    </w:p>
    <w:p w:rsidR="00B74F1D" w:rsidRPr="00B74F1D" w:rsidRDefault="00B74F1D" w:rsidP="00B74F1D">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b/>
          <w:sz w:val="20"/>
          <w:szCs w:val="20"/>
          <w:lang w:eastAsia="pl-PL"/>
        </w:rPr>
        <w:t xml:space="preserve">6.3.5. </w:t>
      </w:r>
      <w:r w:rsidRPr="00B74F1D">
        <w:rPr>
          <w:rFonts w:ascii="Times New Roman" w:eastAsia="Times New Roman" w:hAnsi="Times New Roman" w:cs="Times New Roman"/>
          <w:sz w:val="20"/>
          <w:szCs w:val="20"/>
          <w:lang w:eastAsia="pl-PL"/>
        </w:rPr>
        <w:t>Pomiary kształtu nasypu</w:t>
      </w:r>
    </w:p>
    <w:p w:rsidR="00B74F1D" w:rsidRPr="00B74F1D" w:rsidRDefault="00B74F1D" w:rsidP="00B74F1D">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Pomiary kształtu nasypu obejmują kontrolę:</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prawidłowości wykonania skarp,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szerokości korony korpusu.</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prawidłowości wykonania skarp polega na skontrolowaniu zgodności z wymaganiami dotyczącymi pochyleń i dokładności wykonania skarp, określonymi w dokumentacji projektowej, SST oraz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5.3.5 niniejszej specyfikacji.</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Sprawdzenie szerokości korony korpusu polega na porównaniu szerokości korony korpusu na poziomie wykonywanej warstwy nasypu z szerokością wynikającą z wymiarów geometrycznych korpusu, określonych w dokumentacji projektowej.</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6" w:name="_Toc406295870"/>
      <w:bookmarkStart w:id="87" w:name="_Toc407161290"/>
      <w:r w:rsidRPr="00B74F1D">
        <w:rPr>
          <w:rFonts w:ascii="Times New Roman" w:eastAsia="Times New Roman" w:hAnsi="Times New Roman" w:cs="Times New Roman"/>
          <w:b/>
          <w:sz w:val="20"/>
          <w:szCs w:val="20"/>
          <w:lang w:eastAsia="pl-PL"/>
        </w:rPr>
        <w:t>6.4. Sprawdzenie jakości wykonania odkładu</w:t>
      </w:r>
      <w:bookmarkEnd w:id="86"/>
      <w:bookmarkEnd w:id="87"/>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Sprawdzenie wykonania odkładu polega na sprawdzeniu zgodności z wymaganiami określonymi w </w:t>
      </w:r>
      <w:proofErr w:type="spellStart"/>
      <w:r w:rsidRPr="00B74F1D">
        <w:rPr>
          <w:rFonts w:ascii="Times New Roman" w:eastAsia="Times New Roman" w:hAnsi="Times New Roman" w:cs="Times New Roman"/>
          <w:sz w:val="20"/>
          <w:szCs w:val="20"/>
          <w:lang w:eastAsia="pl-PL"/>
        </w:rPr>
        <w:t>pktach</w:t>
      </w:r>
      <w:proofErr w:type="spellEnd"/>
      <w:r w:rsidRPr="00B74F1D">
        <w:rPr>
          <w:rFonts w:ascii="Times New Roman" w:eastAsia="Times New Roman" w:hAnsi="Times New Roman" w:cs="Times New Roman"/>
          <w:sz w:val="20"/>
          <w:szCs w:val="20"/>
          <w:lang w:eastAsia="pl-PL"/>
        </w:rPr>
        <w:t xml:space="preserve"> 2 oraz 5.4 niniejszej specyfikacji, w dokumentacji projektowej i SST.</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Szczególną uwagę należy zwrócić na:</w:t>
      </w:r>
    </w:p>
    <w:p w:rsidR="00B74F1D" w:rsidRPr="00B74F1D" w:rsidRDefault="00B74F1D" w:rsidP="00B74F1D">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prawidłowość usytuowania i kształt geometryczny odkładu,</w:t>
      </w:r>
    </w:p>
    <w:p w:rsidR="00B74F1D" w:rsidRPr="00B74F1D" w:rsidRDefault="00B74F1D" w:rsidP="00B74F1D">
      <w:pPr>
        <w:numPr>
          <w:ilvl w:val="0"/>
          <w:numId w:val="1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odpowiednie wbudowanie gruntu,</w:t>
      </w:r>
    </w:p>
    <w:p w:rsidR="00B74F1D" w:rsidRPr="00B74F1D" w:rsidRDefault="00B74F1D" w:rsidP="00B74F1D">
      <w:pPr>
        <w:numPr>
          <w:ilvl w:val="0"/>
          <w:numId w:val="16"/>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właściwe zagospodarowanie (rekultywację) odkładu.</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8" w:name="_Toc406295871"/>
      <w:bookmarkStart w:id="89" w:name="_Toc407161291"/>
      <w:bookmarkStart w:id="90" w:name="_Toc418994951"/>
      <w:bookmarkStart w:id="91" w:name="_Toc418996358"/>
      <w:bookmarkStart w:id="92" w:name="_Toc418996727"/>
      <w:bookmarkStart w:id="93" w:name="_Toc418997114"/>
      <w:bookmarkStart w:id="94" w:name="_Toc418998524"/>
      <w:bookmarkStart w:id="95" w:name="_Toc418998880"/>
      <w:bookmarkStart w:id="96" w:name="_Toc419000125"/>
      <w:r w:rsidRPr="00B74F1D">
        <w:rPr>
          <w:rFonts w:ascii="Times New Roman" w:eastAsia="Times New Roman" w:hAnsi="Times New Roman" w:cs="Times New Roman"/>
          <w:b/>
          <w:caps/>
          <w:kern w:val="28"/>
          <w:sz w:val="20"/>
          <w:szCs w:val="20"/>
          <w:lang w:eastAsia="pl-PL"/>
        </w:rPr>
        <w:t>7. obmiar robót</w:t>
      </w:r>
      <w:bookmarkEnd w:id="88"/>
      <w:bookmarkEnd w:id="89"/>
      <w:bookmarkEnd w:id="90"/>
      <w:bookmarkEnd w:id="91"/>
      <w:bookmarkEnd w:id="92"/>
      <w:bookmarkEnd w:id="93"/>
      <w:bookmarkEnd w:id="94"/>
      <w:bookmarkEnd w:id="95"/>
      <w:bookmarkEnd w:id="96"/>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97" w:name="_Toc406295872"/>
      <w:bookmarkStart w:id="98" w:name="_Toc407161292"/>
      <w:r w:rsidRPr="00B74F1D">
        <w:rPr>
          <w:rFonts w:ascii="Times New Roman" w:eastAsia="Times New Roman" w:hAnsi="Times New Roman" w:cs="Times New Roman"/>
          <w:b/>
          <w:sz w:val="20"/>
          <w:szCs w:val="20"/>
          <w:lang w:eastAsia="pl-PL"/>
        </w:rPr>
        <w:t>7.1. Ogólne zasady obmiaru robót</w:t>
      </w:r>
      <w:bookmarkEnd w:id="97"/>
      <w:bookmarkEnd w:id="98"/>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obmiaru robót podano w OST D-02.00.01 pkt 7.</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99" w:name="_Toc406295873"/>
      <w:bookmarkStart w:id="100" w:name="_Toc407161293"/>
      <w:r w:rsidRPr="00B74F1D">
        <w:rPr>
          <w:rFonts w:ascii="Times New Roman" w:eastAsia="Times New Roman" w:hAnsi="Times New Roman" w:cs="Times New Roman"/>
          <w:b/>
          <w:sz w:val="20"/>
          <w:szCs w:val="20"/>
          <w:lang w:eastAsia="pl-PL"/>
        </w:rPr>
        <w:t>7.2. Jednostka obmiarowa</w:t>
      </w:r>
      <w:bookmarkEnd w:id="99"/>
      <w:bookmarkEnd w:id="100"/>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Jednostką obmiarową jest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xml:space="preserve"> (metr sześcienny).</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Objętość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będzie ustalona w metrach sześciennych jako różnica ogólnej objętości nasypów i ogólnej objętości wykopów, pomniejszonej o objętość gruntów nieprzydatnych do budowy nasypów, </w:t>
      </w:r>
      <w:r w:rsidRPr="00B74F1D">
        <w:rPr>
          <w:rFonts w:ascii="Times New Roman" w:eastAsia="Times New Roman" w:hAnsi="Times New Roman" w:cs="Times New Roman"/>
          <w:sz w:val="20"/>
          <w:szCs w:val="20"/>
          <w:lang w:eastAsia="pl-PL"/>
        </w:rPr>
        <w:lastRenderedPageBreak/>
        <w:t>z uwzględnieniem spulchnienia gruntu, tj. procentowego stosunku objętości gruntu w stanie rodzimym do objętości w nasypie.</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Objętość nasypów będzie ustalona w metrach sześciennych na podstawie obliczeń z przekrojów poprzecznych, w oparciu o poziom gruntu rodzimego lub poziom gruntu po usunięciu warstw gruntów nieprzydatnych.</w:t>
      </w:r>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 xml:space="preserve">Objętość odkładu będzie określona w metrach sześciennych na podstawie obmiaru jako różnica objętości wykopów,  powiększonej o objętość ukopów i objętości nasypów, z uwzględnieniem spulchnienia gruntu i zastrzeżeń sformułowanych w </w:t>
      </w:r>
      <w:proofErr w:type="spellStart"/>
      <w:r w:rsidRPr="00B74F1D">
        <w:rPr>
          <w:rFonts w:ascii="Times New Roman" w:eastAsia="Times New Roman" w:hAnsi="Times New Roman" w:cs="Times New Roman"/>
          <w:sz w:val="20"/>
          <w:szCs w:val="20"/>
          <w:lang w:eastAsia="pl-PL"/>
        </w:rPr>
        <w:t>pkcie</w:t>
      </w:r>
      <w:proofErr w:type="spellEnd"/>
      <w:r w:rsidRPr="00B74F1D">
        <w:rPr>
          <w:rFonts w:ascii="Times New Roman" w:eastAsia="Times New Roman" w:hAnsi="Times New Roman" w:cs="Times New Roman"/>
          <w:sz w:val="20"/>
          <w:szCs w:val="20"/>
          <w:lang w:eastAsia="pl-PL"/>
        </w:rPr>
        <w:t xml:space="preserve"> 5.4.</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01" w:name="_Toc406295874"/>
      <w:bookmarkStart w:id="102" w:name="_Toc407161294"/>
      <w:bookmarkStart w:id="103" w:name="_Toc418994952"/>
      <w:bookmarkStart w:id="104" w:name="_Toc418996359"/>
      <w:bookmarkStart w:id="105" w:name="_Toc418996728"/>
      <w:bookmarkStart w:id="106" w:name="_Toc418997115"/>
      <w:bookmarkStart w:id="107" w:name="_Toc418998525"/>
      <w:bookmarkStart w:id="108" w:name="_Toc418998881"/>
      <w:bookmarkStart w:id="109" w:name="_Toc419000126"/>
      <w:r w:rsidRPr="00B74F1D">
        <w:rPr>
          <w:rFonts w:ascii="Times New Roman" w:eastAsia="Times New Roman" w:hAnsi="Times New Roman" w:cs="Times New Roman"/>
          <w:b/>
          <w:caps/>
          <w:kern w:val="28"/>
          <w:sz w:val="20"/>
          <w:szCs w:val="20"/>
          <w:lang w:eastAsia="pl-PL"/>
        </w:rPr>
        <w:t>8. odbiór robót</w:t>
      </w:r>
      <w:bookmarkEnd w:id="101"/>
      <w:bookmarkEnd w:id="102"/>
      <w:bookmarkEnd w:id="103"/>
      <w:bookmarkEnd w:id="104"/>
      <w:bookmarkEnd w:id="105"/>
      <w:bookmarkEnd w:id="106"/>
      <w:bookmarkEnd w:id="107"/>
      <w:bookmarkEnd w:id="108"/>
      <w:bookmarkEnd w:id="109"/>
    </w:p>
    <w:p w:rsidR="00B74F1D" w:rsidRPr="00B74F1D" w:rsidRDefault="00B74F1D" w:rsidP="00B74F1D">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zasady odbioru podano w OST D-02.00.01 pkt 8.</w:t>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10" w:name="_Toc406295875"/>
      <w:bookmarkStart w:id="111" w:name="_Toc407161295"/>
      <w:bookmarkStart w:id="112" w:name="_Toc418994953"/>
      <w:bookmarkStart w:id="113" w:name="_Toc418996360"/>
      <w:bookmarkStart w:id="114" w:name="_Toc418996729"/>
      <w:bookmarkStart w:id="115" w:name="_Toc418997116"/>
      <w:bookmarkStart w:id="116" w:name="_Toc418998526"/>
      <w:bookmarkStart w:id="117" w:name="_Toc418998882"/>
      <w:bookmarkStart w:id="118" w:name="_Toc419000127"/>
      <w:r w:rsidRPr="00B74F1D">
        <w:rPr>
          <w:rFonts w:ascii="Times New Roman" w:eastAsia="Times New Roman" w:hAnsi="Times New Roman" w:cs="Times New Roman"/>
          <w:b/>
          <w:caps/>
          <w:kern w:val="28"/>
          <w:sz w:val="20"/>
          <w:szCs w:val="20"/>
          <w:lang w:eastAsia="pl-PL"/>
        </w:rPr>
        <w:t>9. podstawa płatności</w:t>
      </w:r>
      <w:bookmarkEnd w:id="110"/>
      <w:bookmarkEnd w:id="111"/>
      <w:bookmarkEnd w:id="112"/>
      <w:bookmarkEnd w:id="113"/>
      <w:bookmarkEnd w:id="114"/>
      <w:bookmarkEnd w:id="115"/>
      <w:bookmarkEnd w:id="116"/>
      <w:bookmarkEnd w:id="117"/>
      <w:bookmarkEnd w:id="118"/>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9" w:name="_Toc406295876"/>
      <w:bookmarkStart w:id="120" w:name="_Toc407161296"/>
      <w:r w:rsidRPr="00B74F1D">
        <w:rPr>
          <w:rFonts w:ascii="Times New Roman" w:eastAsia="Times New Roman" w:hAnsi="Times New Roman" w:cs="Times New Roman"/>
          <w:b/>
          <w:sz w:val="20"/>
          <w:szCs w:val="20"/>
          <w:lang w:eastAsia="pl-PL"/>
        </w:rPr>
        <w:t>9.1. Ogólne ustalenia dotyczące podstawy płatności</w:t>
      </w:r>
      <w:bookmarkEnd w:id="119"/>
      <w:bookmarkEnd w:id="120"/>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Ogólne ustalenia dotyczące podstawy płatności podano w OST D-02.00.01 pkt 9.</w:t>
      </w:r>
    </w:p>
    <w:p w:rsidR="00B74F1D" w:rsidRPr="00B74F1D" w:rsidRDefault="00B74F1D" w:rsidP="00B74F1D">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21" w:name="_Toc406295877"/>
      <w:bookmarkStart w:id="122" w:name="_Toc407161297"/>
      <w:r w:rsidRPr="00B74F1D">
        <w:rPr>
          <w:rFonts w:ascii="Times New Roman" w:eastAsia="Times New Roman" w:hAnsi="Times New Roman" w:cs="Times New Roman"/>
          <w:b/>
          <w:sz w:val="20"/>
          <w:szCs w:val="20"/>
          <w:lang w:eastAsia="pl-PL"/>
        </w:rPr>
        <w:t>9.2. Cena jednostki obmiarowej</w:t>
      </w:r>
      <w:bookmarkEnd w:id="121"/>
      <w:bookmarkEnd w:id="122"/>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Cena wykonania 1 m</w:t>
      </w:r>
      <w:r w:rsidRPr="00B74F1D">
        <w:rPr>
          <w:rFonts w:ascii="Times New Roman" w:eastAsia="Times New Roman" w:hAnsi="Times New Roman" w:cs="Times New Roman"/>
          <w:sz w:val="20"/>
          <w:szCs w:val="20"/>
          <w:vertAlign w:val="superscript"/>
          <w:lang w:eastAsia="pl-PL"/>
        </w:rPr>
        <w:t>3</w:t>
      </w:r>
      <w:r w:rsidRPr="00B74F1D">
        <w:rPr>
          <w:rFonts w:ascii="Times New Roman" w:eastAsia="Times New Roman" w:hAnsi="Times New Roman" w:cs="Times New Roman"/>
          <w:sz w:val="20"/>
          <w:szCs w:val="20"/>
          <w:lang w:eastAsia="pl-PL"/>
        </w:rPr>
        <w:t xml:space="preserve"> nasypów obejmuje: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prace pomiarowe,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oznakowanie robót,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pozyskanie gruntu z ukopu lub/i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jego odspojenie i załadunek na środki transportowe,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transport urobku z ukopu lub/i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na miejsce wbudowania,</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wbudowanie dostarczonego gruntu w nasyp,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zagęszczenie gruntu,</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profilowanie powierzchni nasypu, rowów i skarp,</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wyprofilowanie skarp ukopu i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 xml:space="preserve">rekultywację </w:t>
      </w:r>
      <w:proofErr w:type="spellStart"/>
      <w:r w:rsidRPr="00B74F1D">
        <w:rPr>
          <w:rFonts w:ascii="Times New Roman" w:eastAsia="Times New Roman" w:hAnsi="Times New Roman" w:cs="Times New Roman"/>
          <w:sz w:val="20"/>
          <w:szCs w:val="20"/>
          <w:lang w:eastAsia="pl-PL"/>
        </w:rPr>
        <w:t>dokopu</w:t>
      </w:r>
      <w:proofErr w:type="spellEnd"/>
      <w:r w:rsidRPr="00B74F1D">
        <w:rPr>
          <w:rFonts w:ascii="Times New Roman" w:eastAsia="Times New Roman" w:hAnsi="Times New Roman" w:cs="Times New Roman"/>
          <w:sz w:val="20"/>
          <w:szCs w:val="20"/>
          <w:lang w:eastAsia="pl-PL"/>
        </w:rPr>
        <w:t xml:space="preserve"> i terenu przyległego do drogi,</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odwodnienie terenu robót,</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wykonanie dróg dojazdowych na czas budowy, a następnie ich rozebranie,</w:t>
      </w:r>
    </w:p>
    <w:p w:rsidR="00B74F1D" w:rsidRPr="00B74F1D" w:rsidRDefault="00B74F1D" w:rsidP="00B74F1D">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przeprowadzenie pomiarów i badań laboratoryjnych wymaganych w specyfikacji technicznej.</w:t>
      </w:r>
      <w:r w:rsidRPr="00B74F1D">
        <w:rPr>
          <w:rFonts w:ascii="Times New Roman" w:eastAsia="Times New Roman" w:hAnsi="Times New Roman" w:cs="Times New Roman"/>
          <w:sz w:val="20"/>
          <w:szCs w:val="20"/>
          <w:lang w:eastAsia="pl-PL"/>
        </w:rPr>
        <w:tab/>
      </w:r>
    </w:p>
    <w:p w:rsidR="00B74F1D" w:rsidRPr="00B74F1D" w:rsidRDefault="00B74F1D" w:rsidP="00B74F1D">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23" w:name="_Toc406295878"/>
      <w:bookmarkStart w:id="124" w:name="_Toc407161298"/>
      <w:bookmarkStart w:id="125" w:name="_Toc418994954"/>
      <w:bookmarkStart w:id="126" w:name="_Toc418996361"/>
      <w:bookmarkStart w:id="127" w:name="_Toc418996730"/>
      <w:bookmarkStart w:id="128" w:name="_Toc418997117"/>
      <w:bookmarkStart w:id="129" w:name="_Toc418998527"/>
      <w:bookmarkStart w:id="130" w:name="_Toc418998883"/>
      <w:bookmarkStart w:id="131" w:name="_Toc419000128"/>
      <w:r w:rsidRPr="00B74F1D">
        <w:rPr>
          <w:rFonts w:ascii="Times New Roman" w:eastAsia="Times New Roman" w:hAnsi="Times New Roman" w:cs="Times New Roman"/>
          <w:b/>
          <w:caps/>
          <w:kern w:val="28"/>
          <w:sz w:val="20"/>
          <w:szCs w:val="20"/>
          <w:lang w:eastAsia="pl-PL"/>
        </w:rPr>
        <w:t>10. przepisy związane</w:t>
      </w:r>
      <w:bookmarkEnd w:id="123"/>
      <w:bookmarkEnd w:id="124"/>
      <w:bookmarkEnd w:id="125"/>
      <w:bookmarkEnd w:id="126"/>
      <w:bookmarkEnd w:id="127"/>
      <w:bookmarkEnd w:id="128"/>
      <w:bookmarkEnd w:id="129"/>
      <w:bookmarkEnd w:id="130"/>
      <w:bookmarkEnd w:id="131"/>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B74F1D">
        <w:rPr>
          <w:rFonts w:ascii="Times New Roman" w:eastAsia="Times New Roman" w:hAnsi="Times New Roman" w:cs="Times New Roman"/>
          <w:sz w:val="20"/>
          <w:szCs w:val="20"/>
          <w:lang w:eastAsia="pl-PL"/>
        </w:rPr>
        <w:tab/>
        <w:t>Spis przepisów związanych podano w OST D-02.00.01 pkt 10.</w:t>
      </w:r>
    </w:p>
    <w:p w:rsidR="00B74F1D" w:rsidRPr="00B74F1D" w:rsidRDefault="00B74F1D" w:rsidP="00B74F1D">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88371E" w:rsidRDefault="0088371E" w:rsidP="00B74F1D"/>
    <w:sectPr w:rsidR="0088371E" w:rsidSect="00086CD0">
      <w:footerReference w:type="default" r:id="rId13"/>
      <w:pgSz w:w="11906" w:h="16838"/>
      <w:pgMar w:top="1417" w:right="1417" w:bottom="1417" w:left="1417" w:header="708" w:footer="0" w:gutter="0"/>
      <w:pgNumType w:start="4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81C" w:rsidRDefault="00D2481C" w:rsidP="007D54F8">
      <w:pPr>
        <w:spacing w:after="0" w:line="240" w:lineRule="auto"/>
      </w:pPr>
      <w:r>
        <w:separator/>
      </w:r>
    </w:p>
  </w:endnote>
  <w:endnote w:type="continuationSeparator" w:id="0">
    <w:p w:rsidR="00D2481C" w:rsidRDefault="00D2481C" w:rsidP="007D5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553"/>
      <w:docPartObj>
        <w:docPartGallery w:val="Page Numbers (Bottom of Page)"/>
        <w:docPartUnique/>
      </w:docPartObj>
    </w:sdtPr>
    <w:sdtContent>
      <w:p w:rsidR="00086CD0" w:rsidRDefault="00086CD0">
        <w:pPr>
          <w:pStyle w:val="Stopka"/>
          <w:jc w:val="center"/>
        </w:pPr>
        <w:r>
          <w:fldChar w:fldCharType="begin"/>
        </w:r>
        <w:r>
          <w:instrText>PAGE   \* MERGEFORMAT</w:instrText>
        </w:r>
        <w:r>
          <w:fldChar w:fldCharType="separate"/>
        </w:r>
        <w:r>
          <w:rPr>
            <w:noProof/>
          </w:rPr>
          <w:t>55</w:t>
        </w:r>
        <w:r>
          <w:fldChar w:fldCharType="end"/>
        </w:r>
      </w:p>
    </w:sdtContent>
  </w:sdt>
  <w:p w:rsidR="007D54F8" w:rsidRDefault="007D54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81C" w:rsidRDefault="00D2481C" w:rsidP="007D54F8">
      <w:pPr>
        <w:spacing w:after="0" w:line="240" w:lineRule="auto"/>
      </w:pPr>
      <w:r>
        <w:separator/>
      </w:r>
    </w:p>
  </w:footnote>
  <w:footnote w:type="continuationSeparator" w:id="0">
    <w:p w:rsidR="00D2481C" w:rsidRDefault="00D2481C" w:rsidP="007D54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AE214"/>
    <w:lvl w:ilvl="0">
      <w:numFmt w:val="bullet"/>
      <w:lvlText w:val="*"/>
      <w:lvlJc w:val="left"/>
    </w:lvl>
  </w:abstractNum>
  <w:abstractNum w:abstractNumId="1">
    <w:nsid w:val="194528BA"/>
    <w:multiLevelType w:val="singleLevel"/>
    <w:tmpl w:val="B23A0080"/>
    <w:lvl w:ilvl="0">
      <w:start w:val="1"/>
      <w:numFmt w:val="lowerLetter"/>
      <w:lvlText w:val="%1)"/>
      <w:legacy w:legacy="1" w:legacySpace="0" w:legacyIndent="283"/>
      <w:lvlJc w:val="left"/>
      <w:pPr>
        <w:ind w:left="283" w:hanging="283"/>
      </w:pPr>
    </w:lvl>
  </w:abstractNum>
  <w:abstractNum w:abstractNumId="2">
    <w:nsid w:val="23703791"/>
    <w:multiLevelType w:val="singleLevel"/>
    <w:tmpl w:val="B23A0080"/>
    <w:lvl w:ilvl="0">
      <w:start w:val="1"/>
      <w:numFmt w:val="lowerLetter"/>
      <w:lvlText w:val="%1)"/>
      <w:legacy w:legacy="1" w:legacySpace="0" w:legacyIndent="283"/>
      <w:lvlJc w:val="left"/>
      <w:pPr>
        <w:ind w:left="283" w:hanging="283"/>
      </w:pPr>
    </w:lvl>
  </w:abstractNum>
  <w:abstractNum w:abstractNumId="3">
    <w:nsid w:val="24E10506"/>
    <w:multiLevelType w:val="singleLevel"/>
    <w:tmpl w:val="B23A0080"/>
    <w:lvl w:ilvl="0">
      <w:start w:val="1"/>
      <w:numFmt w:val="lowerLetter"/>
      <w:lvlText w:val="%1)"/>
      <w:legacy w:legacy="1" w:legacySpace="0" w:legacyIndent="283"/>
      <w:lvlJc w:val="left"/>
      <w:pPr>
        <w:ind w:left="283" w:hanging="283"/>
      </w:pPr>
    </w:lvl>
  </w:abstractNum>
  <w:abstractNum w:abstractNumId="4">
    <w:nsid w:val="33487CD2"/>
    <w:multiLevelType w:val="singleLevel"/>
    <w:tmpl w:val="B23A0080"/>
    <w:lvl w:ilvl="0">
      <w:start w:val="1"/>
      <w:numFmt w:val="lowerLetter"/>
      <w:lvlText w:val="%1)"/>
      <w:legacy w:legacy="1" w:legacySpace="0" w:legacyIndent="283"/>
      <w:lvlJc w:val="left"/>
      <w:pPr>
        <w:ind w:left="283" w:hanging="283"/>
      </w:pPr>
    </w:lvl>
  </w:abstractNum>
  <w:abstractNum w:abstractNumId="5">
    <w:nsid w:val="3A6457D8"/>
    <w:multiLevelType w:val="singleLevel"/>
    <w:tmpl w:val="B23A0080"/>
    <w:lvl w:ilvl="0">
      <w:start w:val="1"/>
      <w:numFmt w:val="lowerLetter"/>
      <w:lvlText w:val="%1)"/>
      <w:legacy w:legacy="1" w:legacySpace="0" w:legacyIndent="283"/>
      <w:lvlJc w:val="left"/>
      <w:pPr>
        <w:ind w:left="283" w:hanging="283"/>
      </w:pPr>
    </w:lvl>
  </w:abstractNum>
  <w:abstractNum w:abstractNumId="6">
    <w:nsid w:val="45661B9C"/>
    <w:multiLevelType w:val="singleLevel"/>
    <w:tmpl w:val="E39C6B42"/>
    <w:lvl w:ilvl="0">
      <w:start w:val="3"/>
      <w:numFmt w:val="lowerLetter"/>
      <w:lvlText w:val="%1)"/>
      <w:legacy w:legacy="1" w:legacySpace="0" w:legacyIndent="283"/>
      <w:lvlJc w:val="left"/>
      <w:pPr>
        <w:ind w:left="283" w:hanging="283"/>
      </w:pPr>
    </w:lvl>
  </w:abstractNum>
  <w:abstractNum w:abstractNumId="7">
    <w:nsid w:val="46C832C4"/>
    <w:multiLevelType w:val="singleLevel"/>
    <w:tmpl w:val="B23A0080"/>
    <w:lvl w:ilvl="0">
      <w:start w:val="1"/>
      <w:numFmt w:val="lowerLetter"/>
      <w:lvlText w:val="%1)"/>
      <w:legacy w:legacy="1" w:legacySpace="0" w:legacyIndent="283"/>
      <w:lvlJc w:val="left"/>
      <w:pPr>
        <w:ind w:left="283" w:hanging="283"/>
      </w:pPr>
    </w:lvl>
  </w:abstractNum>
  <w:abstractNum w:abstractNumId="8">
    <w:nsid w:val="4A67066D"/>
    <w:multiLevelType w:val="multilevel"/>
    <w:tmpl w:val="81D091B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nsid w:val="4B4D0363"/>
    <w:multiLevelType w:val="singleLevel"/>
    <w:tmpl w:val="B23A0080"/>
    <w:lvl w:ilvl="0">
      <w:start w:val="1"/>
      <w:numFmt w:val="lowerLetter"/>
      <w:lvlText w:val="%1)"/>
      <w:legacy w:legacy="1" w:legacySpace="0" w:legacyIndent="283"/>
      <w:lvlJc w:val="left"/>
      <w:pPr>
        <w:ind w:left="283" w:hanging="283"/>
      </w:pPr>
    </w:lvl>
  </w:abstractNum>
  <w:abstractNum w:abstractNumId="10">
    <w:nsid w:val="538A27DA"/>
    <w:multiLevelType w:val="multilevel"/>
    <w:tmpl w:val="81D091B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5BE402F9"/>
    <w:multiLevelType w:val="singleLevel"/>
    <w:tmpl w:val="B23A0080"/>
    <w:lvl w:ilvl="0">
      <w:start w:val="1"/>
      <w:numFmt w:val="lowerLetter"/>
      <w:lvlText w:val="%1)"/>
      <w:legacy w:legacy="1" w:legacySpace="0" w:legacyIndent="283"/>
      <w:lvlJc w:val="left"/>
      <w:pPr>
        <w:ind w:left="283" w:hanging="283"/>
      </w:pPr>
    </w:lvl>
  </w:abstractNum>
  <w:abstractNum w:abstractNumId="12">
    <w:nsid w:val="5DAD1346"/>
    <w:multiLevelType w:val="singleLevel"/>
    <w:tmpl w:val="354023C4"/>
    <w:lvl w:ilvl="0">
      <w:start w:val="2"/>
      <w:numFmt w:val="lowerLetter"/>
      <w:lvlText w:val="%1)"/>
      <w:legacy w:legacy="1" w:legacySpace="0" w:legacyIndent="283"/>
      <w:lvlJc w:val="left"/>
      <w:pPr>
        <w:ind w:left="283" w:hanging="283"/>
      </w:pPr>
    </w:lvl>
  </w:abstractNum>
  <w:abstractNum w:abstractNumId="13">
    <w:nsid w:val="5E1C18B9"/>
    <w:multiLevelType w:val="singleLevel"/>
    <w:tmpl w:val="B23A0080"/>
    <w:lvl w:ilvl="0">
      <w:start w:val="1"/>
      <w:numFmt w:val="lowerLetter"/>
      <w:lvlText w:val="%1)"/>
      <w:legacy w:legacy="1" w:legacySpace="0" w:legacyIndent="283"/>
      <w:lvlJc w:val="left"/>
      <w:pPr>
        <w:ind w:left="283" w:hanging="283"/>
      </w:pPr>
    </w:lvl>
  </w:abstractNum>
  <w:abstractNum w:abstractNumId="14">
    <w:nsid w:val="6D830B5A"/>
    <w:multiLevelType w:val="singleLevel"/>
    <w:tmpl w:val="B23A008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9"/>
  </w:num>
  <w:num w:numId="4">
    <w:abstractNumId w:val="12"/>
  </w:num>
  <w:num w:numId="5">
    <w:abstractNumId w:val="6"/>
  </w:num>
  <w:num w:numId="6">
    <w:abstractNumId w:val="3"/>
  </w:num>
  <w:num w:numId="7">
    <w:abstractNumId w:val="11"/>
  </w:num>
  <w:num w:numId="8">
    <w:abstractNumId w:val="8"/>
  </w:num>
  <w:num w:numId="9">
    <w:abstractNumId w:val="10"/>
  </w:num>
  <w:num w:numId="10">
    <w:abstractNumId w:val="2"/>
  </w:num>
  <w:num w:numId="11">
    <w:abstractNumId w:val="5"/>
  </w:num>
  <w:num w:numId="12">
    <w:abstractNumId w:val="5"/>
    <w:lvlOverride w:ilvl="0">
      <w:lvl w:ilvl="0">
        <w:start w:val="2"/>
        <w:numFmt w:val="lowerLetter"/>
        <w:lvlText w:val="%1)"/>
        <w:legacy w:legacy="1" w:legacySpace="0" w:legacyIndent="283"/>
        <w:lvlJc w:val="left"/>
        <w:pPr>
          <w:ind w:left="283" w:hanging="283"/>
        </w:pPr>
      </w:lvl>
    </w:lvlOverride>
  </w:num>
  <w:num w:numId="13">
    <w:abstractNumId w:val="1"/>
  </w:num>
  <w:num w:numId="14">
    <w:abstractNumId w:val="14"/>
  </w:num>
  <w:num w:numId="15">
    <w:abstractNumId w:val="7"/>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B0A64"/>
    <w:rsid w:val="00086CD0"/>
    <w:rsid w:val="00122327"/>
    <w:rsid w:val="00156017"/>
    <w:rsid w:val="002A4375"/>
    <w:rsid w:val="00586E75"/>
    <w:rsid w:val="005B0A64"/>
    <w:rsid w:val="007D54F8"/>
    <w:rsid w:val="0088371E"/>
    <w:rsid w:val="00AD11B2"/>
    <w:rsid w:val="00B0444D"/>
    <w:rsid w:val="00B34B16"/>
    <w:rsid w:val="00B74F1D"/>
    <w:rsid w:val="00BF73F9"/>
    <w:rsid w:val="00D2481C"/>
    <w:rsid w:val="00ED1972"/>
    <w:rsid w:val="00F714EA"/>
    <w:rsid w:val="00F97375"/>
    <w:rsid w:val="00FB71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8371E"/>
  </w:style>
  <w:style w:type="paragraph" w:styleId="Nagwek1">
    <w:name w:val="heading 1"/>
    <w:basedOn w:val="Normalny"/>
    <w:link w:val="Nagwek1Znak"/>
    <w:uiPriority w:val="9"/>
    <w:qFormat/>
    <w:rsid w:val="005B0A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5B0A6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B0A64"/>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5B0A64"/>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5B0A64"/>
  </w:style>
  <w:style w:type="character" w:styleId="Hipercze">
    <w:name w:val="Hyperlink"/>
    <w:basedOn w:val="Domylnaczcionkaakapitu"/>
    <w:uiPriority w:val="99"/>
    <w:semiHidden/>
    <w:unhideWhenUsed/>
    <w:rsid w:val="005B0A64"/>
    <w:rPr>
      <w:color w:val="0000FF"/>
      <w:u w:val="single"/>
    </w:rPr>
  </w:style>
  <w:style w:type="character" w:styleId="UyteHipercze">
    <w:name w:val="FollowedHyperlink"/>
    <w:basedOn w:val="Domylnaczcionkaakapitu"/>
    <w:uiPriority w:val="99"/>
    <w:semiHidden/>
    <w:unhideWhenUsed/>
    <w:rsid w:val="005B0A64"/>
    <w:rPr>
      <w:color w:val="800080"/>
      <w:u w:val="single"/>
    </w:rPr>
  </w:style>
  <w:style w:type="paragraph" w:customStyle="1" w:styleId="bodytext2">
    <w:name w:val="bodytext2"/>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owytekst">
    <w:name w:val="standardowytekst"/>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5B0A64"/>
    <w:rPr>
      <w:rFonts w:ascii="Times New Roman" w:eastAsia="Times New Roman" w:hAnsi="Times New Roman" w:cs="Times New Roman"/>
      <w:sz w:val="24"/>
      <w:szCs w:val="24"/>
      <w:lang w:eastAsia="pl-PL"/>
    </w:rPr>
  </w:style>
  <w:style w:type="paragraph" w:customStyle="1" w:styleId="styliwony">
    <w:name w:val="styliwony"/>
    <w:basedOn w:val="Normalny"/>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B0A6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5B0A64"/>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D54F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54F8"/>
  </w:style>
  <w:style w:type="paragraph" w:styleId="Tekstdymka">
    <w:name w:val="Balloon Text"/>
    <w:basedOn w:val="Normalny"/>
    <w:link w:val="TekstdymkaZnak"/>
    <w:uiPriority w:val="99"/>
    <w:semiHidden/>
    <w:unhideWhenUsed/>
    <w:rsid w:val="00086C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C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728956">
      <w:bodyDiv w:val="1"/>
      <w:marLeft w:val="0"/>
      <w:marRight w:val="0"/>
      <w:marTop w:val="0"/>
      <w:marBottom w:val="0"/>
      <w:divBdr>
        <w:top w:val="none" w:sz="0" w:space="0" w:color="auto"/>
        <w:left w:val="none" w:sz="0" w:space="0" w:color="auto"/>
        <w:bottom w:val="none" w:sz="0" w:space="0" w:color="auto"/>
        <w:right w:val="none" w:sz="0" w:space="0" w:color="auto"/>
      </w:divBdr>
      <w:divsChild>
        <w:div w:id="210003323">
          <w:marLeft w:val="0"/>
          <w:marRight w:val="0"/>
          <w:marTop w:val="0"/>
          <w:marBottom w:val="0"/>
          <w:divBdr>
            <w:top w:val="none" w:sz="0" w:space="0" w:color="auto"/>
            <w:left w:val="none" w:sz="0" w:space="0" w:color="auto"/>
            <w:bottom w:val="single" w:sz="4" w:space="1" w:color="auto"/>
            <w:right w:val="none" w:sz="0" w:space="0" w:color="auto"/>
          </w:divBdr>
        </w:div>
        <w:div w:id="1414351841">
          <w:marLeft w:val="0"/>
          <w:marRight w:val="0"/>
          <w:marTop w:val="0"/>
          <w:marBottom w:val="0"/>
          <w:divBdr>
            <w:top w:val="single" w:sz="4" w:space="1"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A413E-2BA0-4F1A-B32A-54C42606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4952</Words>
  <Characters>29712</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11</cp:revision>
  <cp:lastPrinted>2019-08-26T15:05:00Z</cp:lastPrinted>
  <dcterms:created xsi:type="dcterms:W3CDTF">2017-01-27T06:12:00Z</dcterms:created>
  <dcterms:modified xsi:type="dcterms:W3CDTF">2019-08-26T15:06:00Z</dcterms:modified>
</cp:coreProperties>
</file>